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7F81BB41"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D6213F">
        <w:rPr>
          <w:rFonts w:ascii="Aptos Display" w:eastAsia="Gill Sans MT" w:hAnsi="Aptos Display" w:cs="Gill Sans MT"/>
          <w:sz w:val="40"/>
          <w:szCs w:val="40"/>
        </w:rPr>
        <w:t>2</w:t>
      </w:r>
      <w:r w:rsidRPr="00C97A03">
        <w:rPr>
          <w:rFonts w:ascii="Aptos Display" w:eastAsia="Gill Sans MT" w:hAnsi="Aptos Display" w:cs="Gill Sans MT"/>
          <w:sz w:val="40"/>
          <w:szCs w:val="40"/>
        </w:rPr>
        <w:t>.0</w:t>
      </w:r>
      <w:r w:rsidR="00160965">
        <w:rPr>
          <w:rFonts w:ascii="Aptos Display" w:eastAsia="Gill Sans MT" w:hAnsi="Aptos Display" w:cs="Gill Sans MT"/>
          <w:sz w:val="40"/>
          <w:szCs w:val="40"/>
        </w:rPr>
        <w:t>3</w:t>
      </w:r>
      <w:r w:rsidRPr="00C97A03">
        <w:rPr>
          <w:rFonts w:ascii="Aptos Display" w:eastAsia="Gill Sans MT" w:hAnsi="Aptos Display" w:cs="Gill Sans MT"/>
          <w:sz w:val="40"/>
          <w:szCs w:val="40"/>
        </w:rPr>
        <w:t>.0</w:t>
      </w:r>
      <w:r w:rsidR="00D6213F">
        <w:rPr>
          <w:rFonts w:ascii="Aptos Display" w:eastAsia="Gill Sans MT" w:hAnsi="Aptos Display" w:cs="Gill Sans MT"/>
          <w:sz w:val="40"/>
          <w:szCs w:val="40"/>
        </w:rPr>
        <w:t>1</w:t>
      </w:r>
    </w:p>
    <w:p w14:paraId="0E0E8043" w14:textId="7AEB8E9B" w:rsidR="000719CB" w:rsidRPr="00160965" w:rsidRDefault="00160965" w:rsidP="00160965">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Wykonanie nasypów</w:t>
      </w:r>
    </w:p>
    <w:p w14:paraId="09C17680" w14:textId="77777777" w:rsidR="00160965" w:rsidRPr="00160965" w:rsidRDefault="00160965" w:rsidP="00160965">
      <w:pPr>
        <w:pStyle w:val="Standard"/>
        <w:pageBreakBefore/>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lastRenderedPageBreak/>
        <w:t>WSTĘP</w:t>
      </w:r>
    </w:p>
    <w:p w14:paraId="5DEBBCD4"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Przedmiot SST</w:t>
      </w:r>
    </w:p>
    <w:p w14:paraId="37B7F0ED" w14:textId="3E6D7E04" w:rsid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Przedmiotem niniejszej szczegółowej specyfikacji technicznej (SST) są wymagania dotyczące wykonania i odbioru nasypów</w:t>
      </w:r>
      <w:r>
        <w:rPr>
          <w:rFonts w:ascii="Aptos Display" w:hAnsi="Aptos Display"/>
          <w:sz w:val="18"/>
          <w:szCs w:val="18"/>
        </w:rPr>
        <w:t>, które zostaną wykonane w ramach zadania pn.:</w:t>
      </w:r>
    </w:p>
    <w:p w14:paraId="112F45F7" w14:textId="77777777" w:rsidR="00AC2839" w:rsidRDefault="00AC2839" w:rsidP="00AC2839">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4ABCFBE6" w14:textId="77777777" w:rsidR="00160965" w:rsidRPr="00160965" w:rsidRDefault="00160965" w:rsidP="00160965">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26A27AC2"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Zakres stosowania SST</w:t>
      </w:r>
    </w:p>
    <w:p w14:paraId="424C22F8"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Niniejsza szczegółowa specyfikacja techniczna SST stanowi dokument przetargowy i kontraktowy przy zlecaniu i realizacji robót drogowych wymienionych w pkt. 1.1.</w:t>
      </w:r>
    </w:p>
    <w:p w14:paraId="7DE64A4C"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Zakres robót objętych SST</w:t>
      </w:r>
    </w:p>
    <w:p w14:paraId="06BD4D62"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Ustalenia zawarte w niniejszej specyfikacji dotyczą zasad prowadzenia robót ziemnych w czasie budowy lub modernizacji dróg i obejmują wykonanie nasypów z ziemi zakupionej i dowiezionej przez Wykonawcę.</w:t>
      </w:r>
    </w:p>
    <w:p w14:paraId="274E612D"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Określenia podstawowe</w:t>
      </w:r>
    </w:p>
    <w:p w14:paraId="04F2B426"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Podstawowe określenia zostały podane w SST D-02.00.01 pkt 1.4.</w:t>
      </w:r>
    </w:p>
    <w:p w14:paraId="6DF5BD24"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wymagania dotyczące robót</w:t>
      </w:r>
    </w:p>
    <w:p w14:paraId="0765F5C8"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wymagania dotyczące robót podano w SST D-02.00.01 pkt 1.5.</w:t>
      </w:r>
    </w:p>
    <w:p w14:paraId="6D92BC1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3147A929"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MATERIAŁY (GRUNTY)</w:t>
      </w:r>
    </w:p>
    <w:p w14:paraId="253150DB"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wymagania dotyczące materiałów</w:t>
      </w:r>
    </w:p>
    <w:p w14:paraId="6FF7958E"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Ogólne wymagania dotyczące materiałów, ich pozyskiwania i składowania, podano </w:t>
      </w:r>
      <w:r w:rsidRPr="00160965">
        <w:rPr>
          <w:rFonts w:ascii="Aptos Display" w:hAnsi="Aptos Display"/>
          <w:sz w:val="18"/>
          <w:szCs w:val="18"/>
        </w:rPr>
        <w:br/>
        <w:t>w SST D-02.00.01 pkt 2.</w:t>
      </w:r>
    </w:p>
    <w:p w14:paraId="08316B0A"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Grunty i materiały do nasypów</w:t>
      </w:r>
    </w:p>
    <w:p w14:paraId="6AE41B3F"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Grunty i materiały dopuszczone do budowy nasypów powinny spełniać wymagania określone w PN-S-02205 :1998. Grunty i materiały do budowy nasypów podaje </w:t>
      </w:r>
      <w:r w:rsidRPr="00160965">
        <w:rPr>
          <w:rFonts w:ascii="Aptos Display" w:hAnsi="Aptos Display"/>
          <w:sz w:val="18"/>
          <w:szCs w:val="18"/>
        </w:rPr>
        <w:br/>
        <w:t>tablica 1.</w:t>
      </w:r>
    </w:p>
    <w:p w14:paraId="4BF63E1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40B7E78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Tablica 1. Przydatność gruntów do wykonywania budowli ziemnych wg PN-S-02205:1998</w:t>
      </w:r>
    </w:p>
    <w:tbl>
      <w:tblPr>
        <w:tblW w:w="9638" w:type="dxa"/>
        <w:tblInd w:w="58" w:type="dxa"/>
        <w:tblLayout w:type="fixed"/>
        <w:tblCellMar>
          <w:left w:w="10" w:type="dxa"/>
          <w:right w:w="10" w:type="dxa"/>
        </w:tblCellMar>
        <w:tblLook w:val="0000" w:firstRow="0" w:lastRow="0" w:firstColumn="0" w:lastColumn="0" w:noHBand="0" w:noVBand="0"/>
      </w:tblPr>
      <w:tblGrid>
        <w:gridCol w:w="2410"/>
        <w:gridCol w:w="2409"/>
        <w:gridCol w:w="2409"/>
        <w:gridCol w:w="2410"/>
      </w:tblGrid>
      <w:tr w:rsidR="00160965" w:rsidRPr="00160965" w14:paraId="2477B712" w14:textId="77777777" w:rsidTr="000F0899">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6A39AEE2"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Przeznaczenie</w:t>
            </w:r>
          </w:p>
          <w:p w14:paraId="41F6FE93" w14:textId="77777777" w:rsidR="00160965" w:rsidRPr="00160965" w:rsidRDefault="00160965" w:rsidP="00160965">
            <w:pPr>
              <w:pStyle w:val="TableContents"/>
              <w:tabs>
                <w:tab w:val="left" w:pos="567"/>
              </w:tabs>
              <w:jc w:val="both"/>
              <w:rPr>
                <w:rFonts w:ascii="Aptos Display" w:hAnsi="Aptos Display"/>
                <w:sz w:val="18"/>
                <w:szCs w:val="18"/>
              </w:rPr>
            </w:pP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B912B83"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Przydatne</w:t>
            </w:r>
          </w:p>
        </w:tc>
        <w:tc>
          <w:tcPr>
            <w:tcW w:w="2409"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B3F1FD3"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Przydatne</w:t>
            </w:r>
          </w:p>
          <w:p w14:paraId="4FB4B652"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z zastrzeżeniami</w:t>
            </w:r>
          </w:p>
        </w:tc>
        <w:tc>
          <w:tcPr>
            <w:tcW w:w="241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62C34B5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Treść</w:t>
            </w:r>
          </w:p>
          <w:p w14:paraId="792F3E58"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zastrzeżenia</w:t>
            </w:r>
          </w:p>
        </w:tc>
      </w:tr>
      <w:tr w:rsidR="00160965" w:rsidRPr="00160965" w14:paraId="40B986A0" w14:textId="77777777" w:rsidTr="000F0899">
        <w:trPr>
          <w:trHeight w:val="675"/>
        </w:trPr>
        <w:tc>
          <w:tcPr>
            <w:tcW w:w="2409" w:type="dxa"/>
            <w:vMerge w:val="restart"/>
            <w:tcBorders>
              <w:left w:val="single" w:sz="2" w:space="0" w:color="000000"/>
              <w:bottom w:val="single" w:sz="2" w:space="0" w:color="000000"/>
            </w:tcBorders>
            <w:tcMar>
              <w:top w:w="55" w:type="dxa"/>
              <w:left w:w="55" w:type="dxa"/>
              <w:bottom w:w="55" w:type="dxa"/>
              <w:right w:w="55" w:type="dxa"/>
            </w:tcMar>
            <w:vAlign w:val="center"/>
          </w:tcPr>
          <w:p w14:paraId="1FB7062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Na dolne warstwy nasypów poniżej strefy przemarzania</w:t>
            </w:r>
          </w:p>
        </w:tc>
        <w:tc>
          <w:tcPr>
            <w:tcW w:w="2409" w:type="dxa"/>
            <w:vMerge w:val="restart"/>
            <w:tcBorders>
              <w:left w:val="single" w:sz="2" w:space="0" w:color="000000"/>
              <w:bottom w:val="single" w:sz="2" w:space="0" w:color="000000"/>
            </w:tcBorders>
            <w:tcMar>
              <w:top w:w="55" w:type="dxa"/>
              <w:left w:w="55" w:type="dxa"/>
              <w:bottom w:w="55" w:type="dxa"/>
              <w:right w:w="55" w:type="dxa"/>
            </w:tcMar>
          </w:tcPr>
          <w:p w14:paraId="4B74E7FB"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1. Rozdrobnione grunty skaliste twarde oraz grunty kamieniste, zwietrzelinowe,</w:t>
            </w:r>
          </w:p>
          <w:p w14:paraId="5EF456C8"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rumosze i otoczaki</w:t>
            </w:r>
          </w:p>
          <w:p w14:paraId="5EB22540" w14:textId="77777777" w:rsidR="00160965" w:rsidRPr="00160965" w:rsidRDefault="00160965" w:rsidP="00160965">
            <w:pPr>
              <w:pStyle w:val="TableContents"/>
              <w:tabs>
                <w:tab w:val="left" w:pos="567"/>
              </w:tabs>
              <w:jc w:val="both"/>
              <w:rPr>
                <w:rFonts w:ascii="Aptos Display" w:hAnsi="Aptos Display"/>
                <w:sz w:val="18"/>
                <w:szCs w:val="18"/>
              </w:rPr>
            </w:pPr>
          </w:p>
          <w:p w14:paraId="734BE5FC"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2. Żwiry i pospółki, również gliniaste</w:t>
            </w:r>
          </w:p>
          <w:p w14:paraId="41C2D74D" w14:textId="77777777" w:rsidR="00160965" w:rsidRPr="00160965" w:rsidRDefault="00160965" w:rsidP="00160965">
            <w:pPr>
              <w:pStyle w:val="TableContents"/>
              <w:tabs>
                <w:tab w:val="left" w:pos="567"/>
              </w:tabs>
              <w:jc w:val="both"/>
              <w:rPr>
                <w:rFonts w:ascii="Aptos Display" w:hAnsi="Aptos Display"/>
                <w:sz w:val="18"/>
                <w:szCs w:val="18"/>
              </w:rPr>
            </w:pPr>
          </w:p>
          <w:p w14:paraId="6ACA8E65"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3. Piaski grubo, średnio i drobnoziarniste, naturalne </w:t>
            </w:r>
            <w:r w:rsidRPr="00160965">
              <w:rPr>
                <w:rFonts w:ascii="Aptos Display" w:hAnsi="Aptos Display"/>
                <w:sz w:val="18"/>
                <w:szCs w:val="18"/>
              </w:rPr>
              <w:br/>
              <w:t>i łamane</w:t>
            </w:r>
          </w:p>
          <w:p w14:paraId="77C5A855" w14:textId="77777777" w:rsidR="00160965" w:rsidRPr="00160965" w:rsidRDefault="00160965" w:rsidP="00160965">
            <w:pPr>
              <w:pStyle w:val="TableContents"/>
              <w:tabs>
                <w:tab w:val="left" w:pos="567"/>
              </w:tabs>
              <w:jc w:val="both"/>
              <w:rPr>
                <w:rFonts w:ascii="Aptos Display" w:hAnsi="Aptos Display"/>
                <w:sz w:val="18"/>
                <w:szCs w:val="18"/>
              </w:rPr>
            </w:pPr>
          </w:p>
          <w:p w14:paraId="74D7B797"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4. Piaski gliniaste z domieszką frakcji </w:t>
            </w:r>
            <w:r w:rsidRPr="00160965">
              <w:rPr>
                <w:rFonts w:ascii="Aptos Display" w:hAnsi="Aptos Display"/>
                <w:sz w:val="18"/>
                <w:szCs w:val="18"/>
              </w:rPr>
              <w:br/>
              <w:t xml:space="preserve">żwirowo - kamienistej (morenowe) o wskaźniku różnoziarnistości U </w:t>
            </w:r>
            <w:r w:rsidRPr="00160965">
              <w:rPr>
                <w:rFonts w:ascii="Aptos Display" w:hAnsi="Aptos Display"/>
                <w:sz w:val="18"/>
                <w:szCs w:val="18"/>
              </w:rPr>
              <w:t> 15</w:t>
            </w:r>
          </w:p>
          <w:p w14:paraId="12AB1FA8" w14:textId="77777777" w:rsidR="00160965" w:rsidRPr="00160965" w:rsidRDefault="00160965" w:rsidP="00160965">
            <w:pPr>
              <w:pStyle w:val="TableContents"/>
              <w:tabs>
                <w:tab w:val="left" w:pos="567"/>
              </w:tabs>
              <w:jc w:val="both"/>
              <w:rPr>
                <w:rFonts w:ascii="Aptos Display" w:hAnsi="Aptos Display"/>
                <w:sz w:val="18"/>
                <w:szCs w:val="18"/>
              </w:rPr>
            </w:pPr>
          </w:p>
          <w:p w14:paraId="49EA36FD"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5. Żużle wielkopiecowe i inne metalurgiczne ze starych zwałów (powyżej 5 lat)</w:t>
            </w:r>
          </w:p>
          <w:p w14:paraId="394C6246" w14:textId="77777777" w:rsidR="00160965" w:rsidRPr="00160965" w:rsidRDefault="00160965" w:rsidP="00160965">
            <w:pPr>
              <w:pStyle w:val="TableContents"/>
              <w:tabs>
                <w:tab w:val="left" w:pos="567"/>
              </w:tabs>
              <w:jc w:val="both"/>
              <w:rPr>
                <w:rFonts w:ascii="Aptos Display" w:hAnsi="Aptos Display"/>
                <w:sz w:val="18"/>
                <w:szCs w:val="18"/>
              </w:rPr>
            </w:pPr>
          </w:p>
          <w:p w14:paraId="4262F384"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6. Łupki przywęgłowe przepalone</w:t>
            </w:r>
          </w:p>
          <w:p w14:paraId="6924F1DB" w14:textId="77777777" w:rsidR="00160965" w:rsidRPr="00160965" w:rsidRDefault="00160965" w:rsidP="00160965">
            <w:pPr>
              <w:pStyle w:val="TableContents"/>
              <w:tabs>
                <w:tab w:val="left" w:pos="567"/>
              </w:tabs>
              <w:jc w:val="both"/>
              <w:rPr>
                <w:rFonts w:ascii="Aptos Display" w:hAnsi="Aptos Display"/>
                <w:sz w:val="18"/>
                <w:szCs w:val="18"/>
              </w:rPr>
            </w:pPr>
          </w:p>
          <w:p w14:paraId="495F55C5"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7. Wysiewki kamienne o zawartości frakcji iłowej poniżej 2%</w:t>
            </w:r>
          </w:p>
          <w:p w14:paraId="696A4007" w14:textId="77777777" w:rsidR="00160965" w:rsidRPr="00160965" w:rsidRDefault="00160965" w:rsidP="00160965">
            <w:pPr>
              <w:pStyle w:val="TableContents"/>
              <w:tabs>
                <w:tab w:val="left" w:pos="567"/>
              </w:tabs>
              <w:jc w:val="both"/>
              <w:rPr>
                <w:rFonts w:ascii="Aptos Display" w:hAnsi="Aptos Display"/>
                <w:sz w:val="18"/>
                <w:szCs w:val="18"/>
              </w:rPr>
            </w:pPr>
          </w:p>
          <w:p w14:paraId="2C27481A" w14:textId="77777777" w:rsidR="00160965" w:rsidRPr="00160965" w:rsidRDefault="00160965" w:rsidP="00160965">
            <w:pPr>
              <w:pStyle w:val="TableContents"/>
              <w:tabs>
                <w:tab w:val="left" w:pos="567"/>
              </w:tabs>
              <w:jc w:val="both"/>
              <w:rPr>
                <w:rFonts w:ascii="Aptos Display" w:hAnsi="Aptos Display"/>
                <w:sz w:val="18"/>
                <w:szCs w:val="18"/>
              </w:rPr>
            </w:pPr>
          </w:p>
          <w:p w14:paraId="7A05D513" w14:textId="77777777" w:rsidR="00160965" w:rsidRPr="00160965" w:rsidRDefault="00160965" w:rsidP="00160965">
            <w:pPr>
              <w:pStyle w:val="TableContents"/>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4CCC2C9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1. Rozdrobnione grunty skaliste miękkie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FD886D5"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Gdy pory w gruncie skalistym będą wypełnione gruntem lub materiałem drobnoziarnistym</w:t>
            </w:r>
          </w:p>
        </w:tc>
      </w:tr>
      <w:tr w:rsidR="00160965" w:rsidRPr="00160965" w14:paraId="6890DC15" w14:textId="77777777" w:rsidTr="000F0899">
        <w:trPr>
          <w:trHeight w:val="675"/>
        </w:trPr>
        <w:tc>
          <w:tcPr>
            <w:tcW w:w="2409" w:type="dxa"/>
            <w:vMerge/>
            <w:tcBorders>
              <w:left w:val="single" w:sz="2" w:space="0" w:color="000000"/>
              <w:bottom w:val="single" w:sz="2" w:space="0" w:color="000000"/>
            </w:tcBorders>
            <w:tcMar>
              <w:top w:w="55" w:type="dxa"/>
              <w:left w:w="55" w:type="dxa"/>
              <w:bottom w:w="55" w:type="dxa"/>
              <w:right w:w="55" w:type="dxa"/>
            </w:tcMar>
            <w:vAlign w:val="center"/>
          </w:tcPr>
          <w:p w14:paraId="286E7B86"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31857D87"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692D6035"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2. Zwietrzeliny i rumosze gliniaste</w:t>
            </w:r>
          </w:p>
          <w:p w14:paraId="0CD0CBFD" w14:textId="77777777" w:rsidR="00160965" w:rsidRPr="00160965" w:rsidRDefault="00160965" w:rsidP="00160965">
            <w:pPr>
              <w:pStyle w:val="TableContents"/>
              <w:tabs>
                <w:tab w:val="left" w:pos="567"/>
              </w:tabs>
              <w:jc w:val="both"/>
              <w:rPr>
                <w:rFonts w:ascii="Aptos Display" w:hAnsi="Aptos Display"/>
                <w:sz w:val="18"/>
                <w:szCs w:val="18"/>
              </w:rPr>
            </w:pPr>
          </w:p>
          <w:p w14:paraId="412E709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3. Piaski pylaste, piaski gliniaste, pyły piaszczyste i pyły</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DA330B8"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gdy będą wbudowane w miejsca suche lub zabezpieczone od wód gruntowych i powierzchniowych</w:t>
            </w:r>
          </w:p>
        </w:tc>
      </w:tr>
      <w:tr w:rsidR="00160965" w:rsidRPr="00160965" w14:paraId="3848C6C2" w14:textId="77777777" w:rsidTr="000F0899">
        <w:trPr>
          <w:trHeight w:val="675"/>
        </w:trPr>
        <w:tc>
          <w:tcPr>
            <w:tcW w:w="2409" w:type="dxa"/>
            <w:vMerge/>
            <w:tcBorders>
              <w:left w:val="single" w:sz="2" w:space="0" w:color="000000"/>
              <w:bottom w:val="single" w:sz="2" w:space="0" w:color="000000"/>
            </w:tcBorders>
            <w:tcMar>
              <w:top w:w="55" w:type="dxa"/>
              <w:left w:w="55" w:type="dxa"/>
              <w:bottom w:w="55" w:type="dxa"/>
              <w:right w:w="55" w:type="dxa"/>
            </w:tcMar>
            <w:vAlign w:val="center"/>
          </w:tcPr>
          <w:p w14:paraId="1857F849"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01DCB628"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0B44C166"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4. Piaski próchniczne, z wyjątkiem pylastych piasków próchnicznych</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7BC279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do nasypów nie wyższych niż 3 m, zabezpieczonych przed zawilgoceniem</w:t>
            </w:r>
          </w:p>
        </w:tc>
      </w:tr>
      <w:tr w:rsidR="00160965" w:rsidRPr="00160965" w14:paraId="42731EFD" w14:textId="77777777" w:rsidTr="000F0899">
        <w:trPr>
          <w:trHeight w:val="675"/>
        </w:trPr>
        <w:tc>
          <w:tcPr>
            <w:tcW w:w="2409" w:type="dxa"/>
            <w:vMerge/>
            <w:tcBorders>
              <w:left w:val="single" w:sz="2" w:space="0" w:color="000000"/>
              <w:bottom w:val="single" w:sz="2" w:space="0" w:color="000000"/>
            </w:tcBorders>
            <w:tcMar>
              <w:top w:w="55" w:type="dxa"/>
              <w:left w:w="55" w:type="dxa"/>
              <w:bottom w:w="55" w:type="dxa"/>
              <w:right w:w="55" w:type="dxa"/>
            </w:tcMar>
            <w:vAlign w:val="center"/>
          </w:tcPr>
          <w:p w14:paraId="5AFDE062"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5895FC9F"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0D09449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5. Gliny piaszczyste, gliny i gliny pylaste oraz inne o </w:t>
            </w:r>
            <w:proofErr w:type="spellStart"/>
            <w:r w:rsidRPr="00160965">
              <w:rPr>
                <w:rFonts w:ascii="Aptos Display" w:hAnsi="Aptos Display"/>
                <w:sz w:val="18"/>
                <w:szCs w:val="18"/>
              </w:rPr>
              <w:t>wL</w:t>
            </w:r>
            <w:proofErr w:type="spellEnd"/>
            <w:r w:rsidRPr="00160965">
              <w:rPr>
                <w:rFonts w:ascii="Aptos Display" w:hAnsi="Aptos Display"/>
                <w:sz w:val="18"/>
                <w:szCs w:val="18"/>
              </w:rPr>
              <w:t xml:space="preserve"> &lt; 35%</w:t>
            </w:r>
          </w:p>
          <w:p w14:paraId="379A279B" w14:textId="77777777" w:rsidR="00160965" w:rsidRPr="00160965" w:rsidRDefault="00160965" w:rsidP="00160965">
            <w:pPr>
              <w:pStyle w:val="TableContents"/>
              <w:tabs>
                <w:tab w:val="left" w:pos="567"/>
              </w:tabs>
              <w:jc w:val="both"/>
              <w:rPr>
                <w:rFonts w:ascii="Aptos Display" w:hAnsi="Aptos Display"/>
                <w:sz w:val="18"/>
                <w:szCs w:val="18"/>
              </w:rPr>
            </w:pPr>
          </w:p>
          <w:p w14:paraId="2FEE46B7"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6. Gliny piaszczyste zwięzłe, gliny zwięzłe i gliny pylaste zwięzłe oraz inne grunty o granicy płynności </w:t>
            </w:r>
            <w:proofErr w:type="spellStart"/>
            <w:r w:rsidRPr="00160965">
              <w:rPr>
                <w:rFonts w:ascii="Aptos Display" w:hAnsi="Aptos Display"/>
                <w:sz w:val="18"/>
                <w:szCs w:val="18"/>
              </w:rPr>
              <w:t>wL</w:t>
            </w:r>
            <w:proofErr w:type="spellEnd"/>
            <w:r w:rsidRPr="00160965">
              <w:rPr>
                <w:rFonts w:ascii="Aptos Display" w:hAnsi="Aptos Display"/>
                <w:sz w:val="18"/>
                <w:szCs w:val="18"/>
              </w:rPr>
              <w:t xml:space="preserve"> od 35 do 60%</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31BB96A"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w miejscach suchych lub przejściowo zawilgoconych</w:t>
            </w:r>
          </w:p>
          <w:p w14:paraId="39A4F6AB" w14:textId="77777777" w:rsidR="00160965" w:rsidRPr="00160965" w:rsidRDefault="00160965" w:rsidP="00160965">
            <w:pPr>
              <w:pStyle w:val="TableContents"/>
              <w:tabs>
                <w:tab w:val="left" w:pos="567"/>
              </w:tabs>
              <w:jc w:val="both"/>
              <w:rPr>
                <w:rFonts w:ascii="Aptos Display" w:hAnsi="Aptos Display"/>
                <w:sz w:val="18"/>
                <w:szCs w:val="18"/>
              </w:rPr>
            </w:pPr>
          </w:p>
          <w:p w14:paraId="0897CBD3"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do nasypów nie wyższych niż 3 m: zabezpieczonych przed zawilgoceniem lub po ulepszeniu spoiwami</w:t>
            </w:r>
          </w:p>
        </w:tc>
      </w:tr>
      <w:tr w:rsidR="00160965" w:rsidRPr="00160965" w14:paraId="39CB663F" w14:textId="77777777" w:rsidTr="000F0899">
        <w:trPr>
          <w:trHeight w:val="675"/>
        </w:trPr>
        <w:tc>
          <w:tcPr>
            <w:tcW w:w="2409" w:type="dxa"/>
            <w:vMerge/>
            <w:tcBorders>
              <w:left w:val="single" w:sz="2" w:space="0" w:color="000000"/>
              <w:bottom w:val="single" w:sz="2" w:space="0" w:color="000000"/>
            </w:tcBorders>
            <w:tcMar>
              <w:top w:w="55" w:type="dxa"/>
              <w:left w:w="55" w:type="dxa"/>
              <w:bottom w:w="55" w:type="dxa"/>
              <w:right w:w="55" w:type="dxa"/>
            </w:tcMar>
            <w:vAlign w:val="center"/>
          </w:tcPr>
          <w:p w14:paraId="5578B8BC"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1353E28F"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14274EC2"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7. Wysiewki kamienne gliniaste o zawartości frakcji iłowej ponad 2%</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30534E7"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gdy zwierciadło wody gruntowej znajduje się na głębokości większej od kapilarności biernej gruntu podłoża</w:t>
            </w:r>
          </w:p>
        </w:tc>
      </w:tr>
      <w:tr w:rsidR="00160965" w:rsidRPr="00160965" w14:paraId="6DCAF681" w14:textId="77777777" w:rsidTr="000F0899">
        <w:trPr>
          <w:trHeight w:val="675"/>
        </w:trPr>
        <w:tc>
          <w:tcPr>
            <w:tcW w:w="2409" w:type="dxa"/>
            <w:vMerge/>
            <w:tcBorders>
              <w:left w:val="single" w:sz="2" w:space="0" w:color="000000"/>
              <w:bottom w:val="single" w:sz="2" w:space="0" w:color="000000"/>
            </w:tcBorders>
            <w:tcMar>
              <w:top w:w="55" w:type="dxa"/>
              <w:left w:w="55" w:type="dxa"/>
              <w:bottom w:w="55" w:type="dxa"/>
              <w:right w:w="55" w:type="dxa"/>
            </w:tcMar>
            <w:vAlign w:val="center"/>
          </w:tcPr>
          <w:p w14:paraId="4B1E610B"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677DBAE3"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5D7772C6"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8. Żużle wielkopiecowe i inne metalurgiczne z nowego studzenia (do 5 lat)</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4A7B0DBD"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o ograniczonej podatności na rozpad - łączne straty masy do 5%</w:t>
            </w:r>
          </w:p>
        </w:tc>
      </w:tr>
      <w:tr w:rsidR="00160965" w:rsidRPr="00160965" w14:paraId="35B61078" w14:textId="77777777" w:rsidTr="000F0899">
        <w:trPr>
          <w:trHeight w:val="675"/>
        </w:trPr>
        <w:tc>
          <w:tcPr>
            <w:tcW w:w="2409" w:type="dxa"/>
            <w:vMerge/>
            <w:tcBorders>
              <w:left w:val="single" w:sz="2" w:space="0" w:color="000000"/>
              <w:bottom w:val="single" w:sz="2" w:space="0" w:color="000000"/>
            </w:tcBorders>
            <w:tcMar>
              <w:top w:w="55" w:type="dxa"/>
              <w:left w:w="55" w:type="dxa"/>
              <w:bottom w:w="55" w:type="dxa"/>
              <w:right w:w="55" w:type="dxa"/>
            </w:tcMar>
            <w:vAlign w:val="center"/>
          </w:tcPr>
          <w:p w14:paraId="1E5FB3D1"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588223A1"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139DB500"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9. Iłołupki przywęglowe nieprzepalone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4358EDA"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gdy wolne przestrzenie zostaną wypełnione materiałem drobnoziarnistym</w:t>
            </w:r>
          </w:p>
        </w:tc>
      </w:tr>
      <w:tr w:rsidR="00160965" w:rsidRPr="00160965" w14:paraId="1B98BE88" w14:textId="77777777" w:rsidTr="000F0899">
        <w:trPr>
          <w:trHeight w:val="675"/>
        </w:trPr>
        <w:tc>
          <w:tcPr>
            <w:tcW w:w="2409" w:type="dxa"/>
            <w:vMerge/>
            <w:tcBorders>
              <w:left w:val="single" w:sz="2" w:space="0" w:color="000000"/>
              <w:bottom w:val="single" w:sz="2" w:space="0" w:color="000000"/>
            </w:tcBorders>
            <w:tcMar>
              <w:top w:w="55" w:type="dxa"/>
              <w:left w:w="55" w:type="dxa"/>
              <w:bottom w:w="55" w:type="dxa"/>
              <w:right w:w="55" w:type="dxa"/>
            </w:tcMar>
            <w:vAlign w:val="center"/>
          </w:tcPr>
          <w:p w14:paraId="24A2AC2E"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0FB4195C"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0B3D9E30"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10. Popioły lotne i mieszaniny popiołowo-żużlowe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5EA6104"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gdy zalegają w miejscach suchych lub są izolowane od wody</w:t>
            </w:r>
          </w:p>
        </w:tc>
      </w:tr>
      <w:tr w:rsidR="00160965" w:rsidRPr="00160965" w14:paraId="7F786AF9" w14:textId="77777777" w:rsidTr="000F0899">
        <w:trPr>
          <w:trHeight w:hRule="exact" w:val="3972"/>
        </w:trPr>
        <w:tc>
          <w:tcPr>
            <w:tcW w:w="2409" w:type="dxa"/>
            <w:vMerge w:val="restart"/>
            <w:tcBorders>
              <w:left w:val="single" w:sz="2" w:space="0" w:color="000000"/>
              <w:bottom w:val="single" w:sz="2" w:space="0" w:color="000000"/>
            </w:tcBorders>
            <w:tcMar>
              <w:top w:w="55" w:type="dxa"/>
              <w:left w:w="55" w:type="dxa"/>
              <w:bottom w:w="55" w:type="dxa"/>
              <w:right w:w="55" w:type="dxa"/>
            </w:tcMar>
          </w:tcPr>
          <w:p w14:paraId="4DD22658"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Na górne warstwy nasypów w strefie przemarzania</w:t>
            </w:r>
          </w:p>
        </w:tc>
        <w:tc>
          <w:tcPr>
            <w:tcW w:w="2409" w:type="dxa"/>
            <w:vMerge w:val="restart"/>
            <w:tcBorders>
              <w:left w:val="single" w:sz="2" w:space="0" w:color="000000"/>
              <w:bottom w:val="single" w:sz="2" w:space="0" w:color="000000"/>
            </w:tcBorders>
            <w:tcMar>
              <w:top w:w="55" w:type="dxa"/>
              <w:left w:w="55" w:type="dxa"/>
              <w:bottom w:w="55" w:type="dxa"/>
              <w:right w:w="55" w:type="dxa"/>
            </w:tcMar>
          </w:tcPr>
          <w:p w14:paraId="1215EDFD"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1. Żwiry i pospółki</w:t>
            </w:r>
          </w:p>
          <w:p w14:paraId="6E57CB97" w14:textId="77777777" w:rsidR="00160965" w:rsidRPr="00160965" w:rsidRDefault="00160965" w:rsidP="00160965">
            <w:pPr>
              <w:pStyle w:val="TableContents"/>
              <w:tabs>
                <w:tab w:val="left" w:pos="567"/>
              </w:tabs>
              <w:jc w:val="both"/>
              <w:rPr>
                <w:rFonts w:ascii="Aptos Display" w:hAnsi="Aptos Display"/>
                <w:sz w:val="18"/>
                <w:szCs w:val="18"/>
              </w:rPr>
            </w:pPr>
          </w:p>
          <w:p w14:paraId="392A410A"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2. Piaski grubo i średnioziarniste</w:t>
            </w:r>
          </w:p>
          <w:p w14:paraId="250DE6BD" w14:textId="77777777" w:rsidR="00160965" w:rsidRPr="00160965" w:rsidRDefault="00160965" w:rsidP="00160965">
            <w:pPr>
              <w:pStyle w:val="TableContents"/>
              <w:tabs>
                <w:tab w:val="left" w:pos="567"/>
              </w:tabs>
              <w:jc w:val="both"/>
              <w:rPr>
                <w:rFonts w:ascii="Aptos Display" w:hAnsi="Aptos Display"/>
                <w:sz w:val="18"/>
                <w:szCs w:val="18"/>
              </w:rPr>
            </w:pPr>
          </w:p>
          <w:p w14:paraId="2159ACCA"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3. Iłołupki przywęglowe przepalone zawierające mniej niż 15% </w:t>
            </w:r>
            <w:proofErr w:type="spellStart"/>
            <w:r w:rsidRPr="00160965">
              <w:rPr>
                <w:rFonts w:ascii="Aptos Display" w:hAnsi="Aptos Display"/>
                <w:sz w:val="18"/>
                <w:szCs w:val="18"/>
              </w:rPr>
              <w:t>ziarn</w:t>
            </w:r>
            <w:proofErr w:type="spellEnd"/>
            <w:r w:rsidRPr="00160965">
              <w:rPr>
                <w:rFonts w:ascii="Aptos Display" w:hAnsi="Aptos Display"/>
                <w:sz w:val="18"/>
                <w:szCs w:val="18"/>
              </w:rPr>
              <w:t xml:space="preserve"> mniejszych od 0,075 mm</w:t>
            </w:r>
          </w:p>
          <w:p w14:paraId="084689D8" w14:textId="77777777" w:rsidR="00160965" w:rsidRPr="00160965" w:rsidRDefault="00160965" w:rsidP="00160965">
            <w:pPr>
              <w:pStyle w:val="TableContents"/>
              <w:tabs>
                <w:tab w:val="left" w:pos="567"/>
              </w:tabs>
              <w:jc w:val="both"/>
              <w:rPr>
                <w:rFonts w:ascii="Aptos Display" w:hAnsi="Aptos Display"/>
                <w:sz w:val="18"/>
                <w:szCs w:val="18"/>
              </w:rPr>
            </w:pPr>
          </w:p>
          <w:p w14:paraId="1522C963"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4. Wysiewki kamienne o uziarnieniu </w:t>
            </w:r>
            <w:proofErr w:type="spellStart"/>
            <w:r w:rsidRPr="00160965">
              <w:rPr>
                <w:rFonts w:ascii="Aptos Display" w:hAnsi="Aptos Display"/>
                <w:sz w:val="18"/>
                <w:szCs w:val="18"/>
              </w:rPr>
              <w:t>odpowiadająym</w:t>
            </w:r>
            <w:proofErr w:type="spellEnd"/>
            <w:r w:rsidRPr="00160965">
              <w:rPr>
                <w:rFonts w:ascii="Aptos Display" w:hAnsi="Aptos Display"/>
                <w:sz w:val="18"/>
                <w:szCs w:val="18"/>
              </w:rPr>
              <w:t xml:space="preserve"> pospółkom lub żwirom</w:t>
            </w:r>
          </w:p>
        </w:tc>
        <w:tc>
          <w:tcPr>
            <w:tcW w:w="2409" w:type="dxa"/>
            <w:tcBorders>
              <w:left w:val="single" w:sz="2" w:space="0" w:color="000000"/>
              <w:bottom w:val="single" w:sz="2" w:space="0" w:color="000000"/>
            </w:tcBorders>
            <w:tcMar>
              <w:top w:w="55" w:type="dxa"/>
              <w:left w:w="55" w:type="dxa"/>
              <w:bottom w:w="55" w:type="dxa"/>
              <w:right w:w="55" w:type="dxa"/>
            </w:tcMar>
          </w:tcPr>
          <w:p w14:paraId="72948AF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1. Żwiry i pospółki gliniaste</w:t>
            </w:r>
          </w:p>
          <w:p w14:paraId="47A51CAC" w14:textId="77777777" w:rsidR="00160965" w:rsidRPr="00160965" w:rsidRDefault="00160965" w:rsidP="00160965">
            <w:pPr>
              <w:pStyle w:val="TableContents"/>
              <w:tabs>
                <w:tab w:val="left" w:pos="567"/>
              </w:tabs>
              <w:jc w:val="both"/>
              <w:rPr>
                <w:rFonts w:ascii="Aptos Display" w:hAnsi="Aptos Display"/>
                <w:sz w:val="18"/>
                <w:szCs w:val="18"/>
              </w:rPr>
            </w:pPr>
          </w:p>
          <w:p w14:paraId="2449C9A1"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2. Piaski pylaste i gliniaste</w:t>
            </w:r>
          </w:p>
          <w:p w14:paraId="3DC8E27B" w14:textId="77777777" w:rsidR="00160965" w:rsidRPr="00160965" w:rsidRDefault="00160965" w:rsidP="00160965">
            <w:pPr>
              <w:pStyle w:val="TableContents"/>
              <w:tabs>
                <w:tab w:val="left" w:pos="567"/>
              </w:tabs>
              <w:jc w:val="both"/>
              <w:rPr>
                <w:rFonts w:ascii="Aptos Display" w:hAnsi="Aptos Display"/>
                <w:sz w:val="18"/>
                <w:szCs w:val="18"/>
              </w:rPr>
            </w:pPr>
          </w:p>
          <w:p w14:paraId="5EA55CFA"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3. Pyły piaszczyste i pyły</w:t>
            </w:r>
          </w:p>
          <w:p w14:paraId="08ECC9ED" w14:textId="77777777" w:rsidR="00160965" w:rsidRPr="00160965" w:rsidRDefault="00160965" w:rsidP="00160965">
            <w:pPr>
              <w:pStyle w:val="TableContents"/>
              <w:tabs>
                <w:tab w:val="left" w:pos="567"/>
              </w:tabs>
              <w:jc w:val="both"/>
              <w:rPr>
                <w:rFonts w:ascii="Aptos Display" w:hAnsi="Aptos Display"/>
                <w:sz w:val="18"/>
                <w:szCs w:val="18"/>
              </w:rPr>
            </w:pPr>
          </w:p>
          <w:p w14:paraId="7F0B3A2C"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4. Gliny o granicy płynności mniejszej niż 35%</w:t>
            </w:r>
          </w:p>
          <w:p w14:paraId="6CC3A936" w14:textId="77777777" w:rsidR="00160965" w:rsidRPr="00160965" w:rsidRDefault="00160965" w:rsidP="00160965">
            <w:pPr>
              <w:pStyle w:val="TableContents"/>
              <w:tabs>
                <w:tab w:val="left" w:pos="567"/>
              </w:tabs>
              <w:jc w:val="both"/>
              <w:rPr>
                <w:rFonts w:ascii="Aptos Display" w:hAnsi="Aptos Display"/>
                <w:sz w:val="18"/>
                <w:szCs w:val="18"/>
              </w:rPr>
            </w:pPr>
          </w:p>
          <w:p w14:paraId="293F66F1"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5. Mieszaniny popiołowo - żużlowe z węgla kamiennego</w:t>
            </w:r>
          </w:p>
          <w:p w14:paraId="005CFBCE" w14:textId="77777777" w:rsidR="00160965" w:rsidRPr="00160965" w:rsidRDefault="00160965" w:rsidP="00160965">
            <w:pPr>
              <w:pStyle w:val="TableContents"/>
              <w:tabs>
                <w:tab w:val="left" w:pos="567"/>
              </w:tabs>
              <w:jc w:val="both"/>
              <w:rPr>
                <w:rFonts w:ascii="Aptos Display" w:hAnsi="Aptos Display"/>
                <w:sz w:val="18"/>
                <w:szCs w:val="18"/>
              </w:rPr>
            </w:pPr>
          </w:p>
          <w:p w14:paraId="0A34AF8F"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6. Wysiewki kamienne gliniaste o zawartości frakcji iłowej &gt;2%</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223FAA63"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pod warunkiem ulepszenia tych gruntów spoiwami, takimi jak: cement, wapno, aktywne popioły itp.</w:t>
            </w:r>
          </w:p>
        </w:tc>
      </w:tr>
      <w:tr w:rsidR="00160965" w:rsidRPr="00160965" w14:paraId="38884AF7" w14:textId="77777777" w:rsidTr="000F0899">
        <w:trPr>
          <w:trHeight w:hRule="exact" w:val="840"/>
        </w:trPr>
        <w:tc>
          <w:tcPr>
            <w:tcW w:w="2409" w:type="dxa"/>
            <w:vMerge/>
            <w:tcBorders>
              <w:left w:val="single" w:sz="2" w:space="0" w:color="000000"/>
              <w:bottom w:val="single" w:sz="2" w:space="0" w:color="000000"/>
            </w:tcBorders>
            <w:tcMar>
              <w:top w:w="55" w:type="dxa"/>
              <w:left w:w="55" w:type="dxa"/>
              <w:bottom w:w="55" w:type="dxa"/>
              <w:right w:w="55" w:type="dxa"/>
            </w:tcMar>
          </w:tcPr>
          <w:p w14:paraId="49ACCD4D"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054CE85B"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727A9551"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7. Żużle wielkopiecowe i inne metalurgiczne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3BF2F59"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drobnoziarniste i  </w:t>
            </w:r>
            <w:proofErr w:type="spellStart"/>
            <w:r w:rsidRPr="00160965">
              <w:rPr>
                <w:rFonts w:ascii="Aptos Display" w:hAnsi="Aptos Display"/>
                <w:sz w:val="18"/>
                <w:szCs w:val="18"/>
              </w:rPr>
              <w:t>nierozpadowe</w:t>
            </w:r>
            <w:proofErr w:type="spellEnd"/>
            <w:r w:rsidRPr="00160965">
              <w:rPr>
                <w:rFonts w:ascii="Aptos Display" w:hAnsi="Aptos Display"/>
                <w:sz w:val="18"/>
                <w:szCs w:val="18"/>
              </w:rPr>
              <w:t>: straty masy do 1%</w:t>
            </w:r>
          </w:p>
        </w:tc>
      </w:tr>
      <w:tr w:rsidR="00160965" w:rsidRPr="00160965" w14:paraId="0249A303" w14:textId="77777777" w:rsidTr="000F0899">
        <w:trPr>
          <w:trHeight w:hRule="exact" w:val="630"/>
        </w:trPr>
        <w:tc>
          <w:tcPr>
            <w:tcW w:w="2409" w:type="dxa"/>
            <w:vMerge/>
            <w:tcBorders>
              <w:left w:val="single" w:sz="2" w:space="0" w:color="000000"/>
              <w:bottom w:val="single" w:sz="2" w:space="0" w:color="000000"/>
            </w:tcBorders>
            <w:tcMar>
              <w:top w:w="55" w:type="dxa"/>
              <w:left w:w="55" w:type="dxa"/>
              <w:bottom w:w="55" w:type="dxa"/>
              <w:right w:w="55" w:type="dxa"/>
            </w:tcMar>
          </w:tcPr>
          <w:p w14:paraId="5FB0B334" w14:textId="77777777" w:rsidR="00160965" w:rsidRPr="00160965" w:rsidRDefault="00160965" w:rsidP="00160965">
            <w:pPr>
              <w:tabs>
                <w:tab w:val="left" w:pos="567"/>
              </w:tabs>
              <w:jc w:val="both"/>
              <w:rPr>
                <w:rFonts w:ascii="Aptos Display" w:hAnsi="Aptos Display"/>
                <w:sz w:val="18"/>
                <w:szCs w:val="18"/>
              </w:rPr>
            </w:pPr>
          </w:p>
        </w:tc>
        <w:tc>
          <w:tcPr>
            <w:tcW w:w="2409" w:type="dxa"/>
            <w:vMerge/>
            <w:tcBorders>
              <w:left w:val="single" w:sz="2" w:space="0" w:color="000000"/>
              <w:bottom w:val="single" w:sz="2" w:space="0" w:color="000000"/>
            </w:tcBorders>
            <w:tcMar>
              <w:top w:w="55" w:type="dxa"/>
              <w:left w:w="55" w:type="dxa"/>
              <w:bottom w:w="55" w:type="dxa"/>
              <w:right w:w="55" w:type="dxa"/>
            </w:tcMar>
          </w:tcPr>
          <w:p w14:paraId="18D7CB0D" w14:textId="77777777" w:rsidR="00160965" w:rsidRPr="00160965" w:rsidRDefault="00160965" w:rsidP="00160965">
            <w:pPr>
              <w:tabs>
                <w:tab w:val="left" w:pos="567"/>
              </w:tabs>
              <w:jc w:val="both"/>
              <w:rPr>
                <w:rFonts w:ascii="Aptos Display" w:hAnsi="Aptos Display"/>
                <w:sz w:val="18"/>
                <w:szCs w:val="18"/>
              </w:rPr>
            </w:pPr>
          </w:p>
        </w:tc>
        <w:tc>
          <w:tcPr>
            <w:tcW w:w="2409" w:type="dxa"/>
            <w:tcBorders>
              <w:left w:val="single" w:sz="2" w:space="0" w:color="000000"/>
              <w:bottom w:val="single" w:sz="2" w:space="0" w:color="000000"/>
            </w:tcBorders>
            <w:tcMar>
              <w:top w:w="55" w:type="dxa"/>
              <w:left w:w="55" w:type="dxa"/>
              <w:bottom w:w="55" w:type="dxa"/>
              <w:right w:w="55" w:type="dxa"/>
            </w:tcMar>
          </w:tcPr>
          <w:p w14:paraId="2995808D"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8. Piaski drobnoziarniste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677157F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o wskaźniku nośności </w:t>
            </w:r>
            <w:r w:rsidRPr="00160965">
              <w:rPr>
                <w:rFonts w:ascii="Aptos Display" w:hAnsi="Aptos Display"/>
                <w:sz w:val="18"/>
                <w:szCs w:val="18"/>
              </w:rPr>
              <w:br/>
              <w:t>w</w:t>
            </w:r>
            <w:r w:rsidRPr="00160965">
              <w:rPr>
                <w:rFonts w:ascii="Aptos Display" w:hAnsi="Aptos Display"/>
                <w:sz w:val="18"/>
                <w:szCs w:val="18"/>
                <w:vertAlign w:val="subscript"/>
              </w:rPr>
              <w:t xml:space="preserve">noś </w:t>
            </w:r>
            <w:r w:rsidRPr="00160965">
              <w:rPr>
                <w:rFonts w:ascii="Aptos Display" w:hAnsi="Aptos Display"/>
                <w:sz w:val="18"/>
                <w:szCs w:val="18"/>
              </w:rPr>
              <w:t></w:t>
            </w:r>
            <w:r w:rsidRPr="00160965">
              <w:rPr>
                <w:rFonts w:ascii="Aptos Display" w:hAnsi="Aptos Display"/>
                <w:sz w:val="18"/>
                <w:szCs w:val="18"/>
                <w:vertAlign w:val="subscript"/>
              </w:rPr>
              <w:t xml:space="preserve"> </w:t>
            </w:r>
            <w:r w:rsidRPr="00160965">
              <w:rPr>
                <w:rFonts w:ascii="Aptos Display" w:hAnsi="Aptos Display"/>
                <w:sz w:val="18"/>
                <w:szCs w:val="18"/>
              </w:rPr>
              <w:t>10</w:t>
            </w:r>
          </w:p>
        </w:tc>
      </w:tr>
      <w:tr w:rsidR="00160965" w:rsidRPr="00160965" w14:paraId="65B6C0F4" w14:textId="77777777" w:rsidTr="000F0899">
        <w:tc>
          <w:tcPr>
            <w:tcW w:w="2409" w:type="dxa"/>
            <w:tcBorders>
              <w:left w:val="single" w:sz="2" w:space="0" w:color="000000"/>
              <w:bottom w:val="single" w:sz="2" w:space="0" w:color="000000"/>
            </w:tcBorders>
            <w:tcMar>
              <w:top w:w="55" w:type="dxa"/>
              <w:left w:w="55" w:type="dxa"/>
              <w:bottom w:w="55" w:type="dxa"/>
              <w:right w:w="55" w:type="dxa"/>
            </w:tcMar>
          </w:tcPr>
          <w:p w14:paraId="5DFF679B"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W wykopach i miejscach zerowych do głębokości przemarzania</w:t>
            </w:r>
          </w:p>
        </w:tc>
        <w:tc>
          <w:tcPr>
            <w:tcW w:w="2409" w:type="dxa"/>
            <w:tcBorders>
              <w:left w:val="single" w:sz="2" w:space="0" w:color="000000"/>
              <w:bottom w:val="single" w:sz="2" w:space="0" w:color="000000"/>
            </w:tcBorders>
            <w:tcMar>
              <w:top w:w="55" w:type="dxa"/>
              <w:left w:w="55" w:type="dxa"/>
              <w:bottom w:w="55" w:type="dxa"/>
              <w:right w:w="55" w:type="dxa"/>
            </w:tcMar>
          </w:tcPr>
          <w:p w14:paraId="2A368406"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Grunty niewysadzinowe</w:t>
            </w:r>
          </w:p>
        </w:tc>
        <w:tc>
          <w:tcPr>
            <w:tcW w:w="2409" w:type="dxa"/>
            <w:tcBorders>
              <w:left w:val="single" w:sz="2" w:space="0" w:color="000000"/>
              <w:bottom w:val="single" w:sz="2" w:space="0" w:color="000000"/>
            </w:tcBorders>
            <w:tcMar>
              <w:top w:w="55" w:type="dxa"/>
              <w:left w:w="55" w:type="dxa"/>
              <w:bottom w:w="55" w:type="dxa"/>
              <w:right w:w="55" w:type="dxa"/>
            </w:tcMar>
          </w:tcPr>
          <w:p w14:paraId="08739514"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Grunty wątpliwe i wysadzinowe</w:t>
            </w:r>
          </w:p>
        </w:tc>
        <w:tc>
          <w:tcPr>
            <w:tcW w:w="2410" w:type="dxa"/>
            <w:tcBorders>
              <w:left w:val="single" w:sz="2" w:space="0" w:color="000000"/>
              <w:bottom w:val="single" w:sz="2" w:space="0" w:color="000000"/>
              <w:right w:val="single" w:sz="2" w:space="0" w:color="000000"/>
            </w:tcBorders>
            <w:tcMar>
              <w:top w:w="55" w:type="dxa"/>
              <w:left w:w="55" w:type="dxa"/>
              <w:bottom w:w="55" w:type="dxa"/>
              <w:right w:w="55" w:type="dxa"/>
            </w:tcMar>
          </w:tcPr>
          <w:p w14:paraId="552ACAE6"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gdy są ulepszane spoiwami (cementem, wapnem, aktywnymi popiołami itp.)</w:t>
            </w:r>
          </w:p>
        </w:tc>
      </w:tr>
    </w:tbl>
    <w:p w14:paraId="2F1543F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5DDCD662"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SPRZĘT</w:t>
      </w:r>
    </w:p>
    <w:p w14:paraId="7C195945"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wymagania dotyczące sprzętu</w:t>
      </w:r>
    </w:p>
    <w:p w14:paraId="7382ACF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wymagania i ustalenia dotyczące sprzętu określono w SST D-02.00.01 pkt 3.</w:t>
      </w:r>
    </w:p>
    <w:p w14:paraId="77318392"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Dobór sprzętu zagęszczającego</w:t>
      </w:r>
    </w:p>
    <w:p w14:paraId="4191792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W tablicy 2 podano, dla różnych rodzajów gruntów, orientacyjne dane przy doborze sprzętu zagęszczającego. Sprzęt do zagęszczania powinien być zatwierdzony przez Inżyniera.</w:t>
      </w:r>
    </w:p>
    <w:p w14:paraId="04E132B9"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4E63921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Tablica 2. Orientacyjne dane przy doborze sprzętu zagęszczającego wg</w:t>
      </w:r>
    </w:p>
    <w:tbl>
      <w:tblPr>
        <w:tblW w:w="9645" w:type="dxa"/>
        <w:tblLayout w:type="fixed"/>
        <w:tblCellMar>
          <w:left w:w="10" w:type="dxa"/>
          <w:right w:w="10" w:type="dxa"/>
        </w:tblCellMar>
        <w:tblLook w:val="0000" w:firstRow="0" w:lastRow="0" w:firstColumn="0" w:lastColumn="0" w:noHBand="0" w:noVBand="0"/>
      </w:tblPr>
      <w:tblGrid>
        <w:gridCol w:w="3165"/>
        <w:gridCol w:w="870"/>
        <w:gridCol w:w="945"/>
        <w:gridCol w:w="885"/>
        <w:gridCol w:w="930"/>
        <w:gridCol w:w="825"/>
        <w:gridCol w:w="813"/>
        <w:gridCol w:w="1212"/>
      </w:tblGrid>
      <w:tr w:rsidR="00160965" w:rsidRPr="00160965" w14:paraId="02ABA6A9" w14:textId="77777777" w:rsidTr="000F0899">
        <w:tc>
          <w:tcPr>
            <w:tcW w:w="316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CE93122"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Rodzaje</w:t>
            </w:r>
          </w:p>
          <w:p w14:paraId="790ED3F1"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urządzeń</w:t>
            </w:r>
          </w:p>
          <w:p w14:paraId="48E5C8A6"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zagęszczających</w:t>
            </w:r>
          </w:p>
        </w:tc>
        <w:tc>
          <w:tcPr>
            <w:tcW w:w="5268" w:type="dxa"/>
            <w:gridSpan w:val="6"/>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24F6B23"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Rodzaje gruntu</w:t>
            </w:r>
          </w:p>
        </w:tc>
        <w:tc>
          <w:tcPr>
            <w:tcW w:w="1212" w:type="dxa"/>
            <w:vMerge w:val="restar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2BCDE798"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 xml:space="preserve">Uwagi o </w:t>
            </w:r>
            <w:proofErr w:type="spellStart"/>
            <w:r w:rsidRPr="00160965">
              <w:rPr>
                <w:rFonts w:ascii="Aptos Display" w:hAnsi="Aptos Display"/>
                <w:sz w:val="18"/>
                <w:szCs w:val="18"/>
              </w:rPr>
              <w:t>przydat</w:t>
            </w:r>
            <w:proofErr w:type="spellEnd"/>
            <w:r w:rsidRPr="00160965">
              <w:rPr>
                <w:rFonts w:ascii="Aptos Display" w:hAnsi="Aptos Display"/>
                <w:sz w:val="18"/>
                <w:szCs w:val="18"/>
              </w:rPr>
              <w:t>-</w:t>
            </w:r>
          </w:p>
          <w:p w14:paraId="153A8FCF" w14:textId="77777777" w:rsidR="00160965" w:rsidRPr="00160965" w:rsidRDefault="00160965" w:rsidP="00160965">
            <w:pPr>
              <w:pStyle w:val="TableContents"/>
              <w:tabs>
                <w:tab w:val="left" w:pos="567"/>
              </w:tabs>
              <w:jc w:val="both"/>
              <w:rPr>
                <w:rFonts w:ascii="Aptos Display" w:hAnsi="Aptos Display"/>
                <w:sz w:val="18"/>
                <w:szCs w:val="18"/>
              </w:rPr>
            </w:pPr>
            <w:proofErr w:type="spellStart"/>
            <w:r w:rsidRPr="00160965">
              <w:rPr>
                <w:rFonts w:ascii="Aptos Display" w:hAnsi="Aptos Display"/>
                <w:sz w:val="18"/>
                <w:szCs w:val="18"/>
              </w:rPr>
              <w:t>ności</w:t>
            </w:r>
            <w:proofErr w:type="spellEnd"/>
            <w:r w:rsidRPr="00160965">
              <w:rPr>
                <w:rFonts w:ascii="Aptos Display" w:hAnsi="Aptos Display"/>
                <w:sz w:val="18"/>
                <w:szCs w:val="18"/>
              </w:rPr>
              <w:t xml:space="preserve"> maszyn</w:t>
            </w:r>
          </w:p>
        </w:tc>
      </w:tr>
      <w:tr w:rsidR="00160965" w:rsidRPr="00160965" w14:paraId="6547AA07" w14:textId="77777777" w:rsidTr="000F0899">
        <w:tc>
          <w:tcPr>
            <w:tcW w:w="316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E254630" w14:textId="77777777" w:rsidR="00160965" w:rsidRPr="00160965" w:rsidRDefault="00160965" w:rsidP="00160965">
            <w:pPr>
              <w:tabs>
                <w:tab w:val="left" w:pos="567"/>
              </w:tabs>
              <w:jc w:val="both"/>
              <w:rPr>
                <w:rFonts w:ascii="Aptos Display" w:hAnsi="Aptos Display"/>
                <w:sz w:val="18"/>
                <w:szCs w:val="18"/>
              </w:rPr>
            </w:pPr>
          </w:p>
        </w:tc>
        <w:tc>
          <w:tcPr>
            <w:tcW w:w="1815" w:type="dxa"/>
            <w:gridSpan w:val="2"/>
            <w:tcBorders>
              <w:left w:val="single" w:sz="2" w:space="0" w:color="000000"/>
              <w:bottom w:val="single" w:sz="2" w:space="0" w:color="000000"/>
            </w:tcBorders>
            <w:tcMar>
              <w:top w:w="55" w:type="dxa"/>
              <w:left w:w="55" w:type="dxa"/>
              <w:bottom w:w="55" w:type="dxa"/>
              <w:right w:w="55" w:type="dxa"/>
            </w:tcMar>
            <w:vAlign w:val="center"/>
          </w:tcPr>
          <w:p w14:paraId="47025A09"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niespoiste: piaski, żwiry, pospółki</w:t>
            </w:r>
          </w:p>
        </w:tc>
        <w:tc>
          <w:tcPr>
            <w:tcW w:w="1815" w:type="dxa"/>
            <w:gridSpan w:val="2"/>
            <w:tcBorders>
              <w:left w:val="single" w:sz="2" w:space="0" w:color="000000"/>
              <w:bottom w:val="single" w:sz="2" w:space="0" w:color="000000"/>
            </w:tcBorders>
            <w:tcMar>
              <w:top w:w="55" w:type="dxa"/>
              <w:left w:w="55" w:type="dxa"/>
              <w:bottom w:w="55" w:type="dxa"/>
              <w:right w:w="55" w:type="dxa"/>
            </w:tcMar>
            <w:vAlign w:val="center"/>
          </w:tcPr>
          <w:p w14:paraId="4044D766"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spoiste: pyły gliny, iły</w:t>
            </w:r>
          </w:p>
        </w:tc>
        <w:tc>
          <w:tcPr>
            <w:tcW w:w="1638" w:type="dxa"/>
            <w:gridSpan w:val="2"/>
            <w:tcBorders>
              <w:left w:val="single" w:sz="2" w:space="0" w:color="000000"/>
              <w:bottom w:val="single" w:sz="2" w:space="0" w:color="000000"/>
            </w:tcBorders>
            <w:tcMar>
              <w:top w:w="55" w:type="dxa"/>
              <w:left w:w="55" w:type="dxa"/>
              <w:bottom w:w="55" w:type="dxa"/>
              <w:right w:w="55" w:type="dxa"/>
            </w:tcMar>
            <w:vAlign w:val="center"/>
          </w:tcPr>
          <w:p w14:paraId="2C082C83"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gruboziarniste</w:t>
            </w:r>
          </w:p>
          <w:p w14:paraId="50A069DE" w14:textId="77777777" w:rsidR="00160965" w:rsidRPr="00160965" w:rsidRDefault="00160965" w:rsidP="00160965">
            <w:pPr>
              <w:pStyle w:val="TableContents"/>
              <w:tabs>
                <w:tab w:val="left" w:pos="567"/>
              </w:tabs>
              <w:jc w:val="both"/>
              <w:rPr>
                <w:rFonts w:ascii="Aptos Display" w:hAnsi="Aptos Display"/>
                <w:sz w:val="18"/>
                <w:szCs w:val="18"/>
              </w:rPr>
            </w:pPr>
            <w:r w:rsidRPr="00160965">
              <w:rPr>
                <w:rFonts w:ascii="Aptos Display" w:hAnsi="Aptos Display"/>
                <w:sz w:val="18"/>
                <w:szCs w:val="18"/>
              </w:rPr>
              <w:t>i kamieniste</w:t>
            </w:r>
          </w:p>
        </w:tc>
        <w:tc>
          <w:tcPr>
            <w:tcW w:w="1212" w:type="dxa"/>
            <w:vMerge/>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50A400B" w14:textId="77777777" w:rsidR="00160965" w:rsidRPr="00160965" w:rsidRDefault="00160965" w:rsidP="00160965">
            <w:pPr>
              <w:tabs>
                <w:tab w:val="left" w:pos="567"/>
              </w:tabs>
              <w:jc w:val="both"/>
              <w:rPr>
                <w:rFonts w:ascii="Aptos Display" w:hAnsi="Aptos Display"/>
                <w:sz w:val="18"/>
                <w:szCs w:val="18"/>
              </w:rPr>
            </w:pPr>
          </w:p>
        </w:tc>
      </w:tr>
      <w:tr w:rsidR="00160965" w:rsidRPr="00160965" w14:paraId="79707FFA" w14:textId="77777777" w:rsidTr="000F0899">
        <w:trPr>
          <w:trHeight w:val="720"/>
        </w:trPr>
        <w:tc>
          <w:tcPr>
            <w:tcW w:w="316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0952CC0D" w14:textId="77777777" w:rsidR="00160965" w:rsidRPr="00160965" w:rsidRDefault="00160965" w:rsidP="00160965">
            <w:pPr>
              <w:tabs>
                <w:tab w:val="left" w:pos="567"/>
              </w:tabs>
              <w:jc w:val="both"/>
              <w:rPr>
                <w:rFonts w:ascii="Aptos Display" w:hAnsi="Aptos Display"/>
                <w:sz w:val="18"/>
                <w:szCs w:val="18"/>
              </w:rPr>
            </w:pP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486ACBB7"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grubość warstwy</w:t>
            </w:r>
          </w:p>
          <w:p w14:paraId="4415FFC6"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 m ]</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1B023609"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liczba przejść</w:t>
            </w:r>
          </w:p>
          <w:p w14:paraId="3EDFA859"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n ***</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254A3733"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grubość warstwy</w:t>
            </w:r>
          </w:p>
          <w:p w14:paraId="2B346357"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 m ]</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13D3C2D8"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liczba przejść</w:t>
            </w:r>
          </w:p>
          <w:p w14:paraId="3DE6A1D3"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n ***</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53DAEED2"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grubość warstwy</w:t>
            </w:r>
          </w:p>
          <w:p w14:paraId="1108DFF5"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 m ]</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1C848289"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liczba przejść</w:t>
            </w:r>
          </w:p>
          <w:p w14:paraId="22909504"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n ***</w:t>
            </w:r>
          </w:p>
        </w:tc>
        <w:tc>
          <w:tcPr>
            <w:tcW w:w="1212" w:type="dxa"/>
            <w:vMerge/>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1FB18CBA" w14:textId="77777777" w:rsidR="00160965" w:rsidRPr="00160965" w:rsidRDefault="00160965" w:rsidP="00160965">
            <w:pPr>
              <w:tabs>
                <w:tab w:val="left" w:pos="567"/>
              </w:tabs>
              <w:jc w:val="both"/>
              <w:rPr>
                <w:rFonts w:ascii="Aptos Display" w:hAnsi="Aptos Display"/>
                <w:sz w:val="18"/>
                <w:szCs w:val="18"/>
              </w:rPr>
            </w:pPr>
          </w:p>
        </w:tc>
      </w:tr>
      <w:tr w:rsidR="00160965" w:rsidRPr="00160965" w14:paraId="4EAD7B12" w14:textId="77777777" w:rsidTr="000F0899">
        <w:tc>
          <w:tcPr>
            <w:tcW w:w="3165" w:type="dxa"/>
            <w:tcBorders>
              <w:left w:val="single" w:sz="2" w:space="0" w:color="000000"/>
              <w:bottom w:val="single" w:sz="2" w:space="0" w:color="000000"/>
            </w:tcBorders>
            <w:tcMar>
              <w:top w:w="55" w:type="dxa"/>
              <w:left w:w="55" w:type="dxa"/>
              <w:bottom w:w="55" w:type="dxa"/>
              <w:right w:w="55" w:type="dxa"/>
            </w:tcMar>
            <w:vAlign w:val="center"/>
          </w:tcPr>
          <w:p w14:paraId="6BEA93CD"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Walce statyczne</w:t>
            </w:r>
          </w:p>
          <w:p w14:paraId="21351496"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 xml:space="preserve"> gładkie *</w:t>
            </w: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0C6394BD"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0,1 do 0,2</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634DCCC2"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 do 8</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3AB50DDC"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0,1 do 0,2</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4EE19387"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 do 8</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3EE57D62"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0,3</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0507DC31"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 do 8</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996F123"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1)</w:t>
            </w:r>
          </w:p>
        </w:tc>
      </w:tr>
      <w:tr w:rsidR="00160965" w:rsidRPr="00160965" w14:paraId="232619C4" w14:textId="77777777" w:rsidTr="000F0899">
        <w:tc>
          <w:tcPr>
            <w:tcW w:w="3165" w:type="dxa"/>
            <w:tcBorders>
              <w:left w:val="single" w:sz="2" w:space="0" w:color="000000"/>
              <w:bottom w:val="single" w:sz="2" w:space="0" w:color="000000"/>
            </w:tcBorders>
            <w:tcMar>
              <w:top w:w="55" w:type="dxa"/>
              <w:left w:w="55" w:type="dxa"/>
              <w:bottom w:w="55" w:type="dxa"/>
              <w:right w:w="55" w:type="dxa"/>
            </w:tcMar>
            <w:vAlign w:val="center"/>
          </w:tcPr>
          <w:p w14:paraId="70573395"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Walce statyczne okołkowane *</w:t>
            </w: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5C62D75C"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56ECC48E"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543D5726"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0,3</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5045254B"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8 do 12</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07B49BF2"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0,3</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36CF4365"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8 do 12</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4859412C"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2)</w:t>
            </w:r>
          </w:p>
        </w:tc>
      </w:tr>
      <w:tr w:rsidR="00160965" w:rsidRPr="00160965" w14:paraId="202C7731" w14:textId="77777777" w:rsidTr="000F0899">
        <w:tc>
          <w:tcPr>
            <w:tcW w:w="3165" w:type="dxa"/>
            <w:tcBorders>
              <w:left w:val="single" w:sz="2" w:space="0" w:color="000000"/>
              <w:bottom w:val="single" w:sz="2" w:space="0" w:color="000000"/>
            </w:tcBorders>
            <w:tcMar>
              <w:top w:w="55" w:type="dxa"/>
              <w:left w:w="55" w:type="dxa"/>
              <w:bottom w:w="55" w:type="dxa"/>
              <w:right w:w="55" w:type="dxa"/>
            </w:tcMar>
            <w:vAlign w:val="center"/>
          </w:tcPr>
          <w:p w14:paraId="07B73372"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Walce statyczne ogumione *</w:t>
            </w: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1A3D5B95"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0,5</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3EEF1B53"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6 do 8</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75F821D4"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0,4</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4B36CAAF"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6 do 10</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100A8168"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7E13207C"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D22D9B"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w:t>
            </w:r>
          </w:p>
        </w:tc>
      </w:tr>
      <w:tr w:rsidR="00160965" w:rsidRPr="00160965" w14:paraId="103FB03C" w14:textId="77777777" w:rsidTr="000F0899">
        <w:tc>
          <w:tcPr>
            <w:tcW w:w="3165" w:type="dxa"/>
            <w:tcBorders>
              <w:left w:val="single" w:sz="2" w:space="0" w:color="000000"/>
              <w:bottom w:val="single" w:sz="2" w:space="0" w:color="000000"/>
            </w:tcBorders>
            <w:tcMar>
              <w:top w:w="55" w:type="dxa"/>
              <w:left w:w="55" w:type="dxa"/>
              <w:bottom w:w="55" w:type="dxa"/>
              <w:right w:w="55" w:type="dxa"/>
            </w:tcMar>
            <w:vAlign w:val="center"/>
          </w:tcPr>
          <w:p w14:paraId="64E54B25"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Walce wibracyjne gładkie **</w:t>
            </w: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4B80BB0F"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0,4 do 0,7</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24950884"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 do 8</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0474702C"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0,4</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01FFEEA7"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 do 4</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527325A7"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0,3 do 0,6</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26785F39"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 do 5</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2E9D93B"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w:t>
            </w:r>
          </w:p>
        </w:tc>
      </w:tr>
      <w:tr w:rsidR="00160965" w:rsidRPr="00160965" w14:paraId="67007565" w14:textId="77777777" w:rsidTr="000F0899">
        <w:tc>
          <w:tcPr>
            <w:tcW w:w="3165" w:type="dxa"/>
            <w:tcBorders>
              <w:left w:val="single" w:sz="2" w:space="0" w:color="000000"/>
              <w:bottom w:val="single" w:sz="2" w:space="0" w:color="000000"/>
            </w:tcBorders>
            <w:tcMar>
              <w:top w:w="55" w:type="dxa"/>
              <w:left w:w="55" w:type="dxa"/>
              <w:bottom w:w="55" w:type="dxa"/>
              <w:right w:w="55" w:type="dxa"/>
            </w:tcMar>
            <w:vAlign w:val="center"/>
          </w:tcPr>
          <w:p w14:paraId="7658B4C0"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Walce wibracyjne okołkowane **</w:t>
            </w: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441B2A7A"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0,3 do 0,6</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6139668E"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 do 6</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7220466D"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0,4</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5B3AB291"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6 do 10</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75E13EF6"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0,4</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5D395ED9"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6 do 10</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CF891DB"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5)</w:t>
            </w:r>
          </w:p>
        </w:tc>
      </w:tr>
      <w:tr w:rsidR="00160965" w:rsidRPr="00160965" w14:paraId="6730257A" w14:textId="77777777" w:rsidTr="000F0899">
        <w:trPr>
          <w:trHeight w:val="516"/>
        </w:trPr>
        <w:tc>
          <w:tcPr>
            <w:tcW w:w="3165" w:type="dxa"/>
            <w:tcBorders>
              <w:left w:val="single" w:sz="2" w:space="0" w:color="000000"/>
              <w:bottom w:val="single" w:sz="2" w:space="0" w:color="000000"/>
            </w:tcBorders>
            <w:tcMar>
              <w:top w:w="55" w:type="dxa"/>
              <w:left w:w="55" w:type="dxa"/>
              <w:bottom w:w="55" w:type="dxa"/>
              <w:right w:w="55" w:type="dxa"/>
            </w:tcMar>
            <w:vAlign w:val="center"/>
          </w:tcPr>
          <w:p w14:paraId="17A480D4"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Zagęszczarki</w:t>
            </w:r>
          </w:p>
          <w:p w14:paraId="1CEF1664"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wibracyjne **</w:t>
            </w: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1B3AB7D9"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0,3 do 0,5</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36ABB82E"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 do 8</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74C586F6"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58D78BCB"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601AD179"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0,5</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7FE2E9EB"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 do 8</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F34C9D7"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6)</w:t>
            </w:r>
          </w:p>
        </w:tc>
      </w:tr>
      <w:tr w:rsidR="00160965" w:rsidRPr="00160965" w14:paraId="5EB02D11" w14:textId="77777777" w:rsidTr="000F0899">
        <w:tc>
          <w:tcPr>
            <w:tcW w:w="3165" w:type="dxa"/>
            <w:tcBorders>
              <w:left w:val="single" w:sz="2" w:space="0" w:color="000000"/>
              <w:bottom w:val="single" w:sz="2" w:space="0" w:color="000000"/>
            </w:tcBorders>
            <w:tcMar>
              <w:top w:w="55" w:type="dxa"/>
              <w:left w:w="55" w:type="dxa"/>
              <w:bottom w:w="55" w:type="dxa"/>
              <w:right w:w="55" w:type="dxa"/>
            </w:tcMar>
            <w:vAlign w:val="center"/>
          </w:tcPr>
          <w:p w14:paraId="3D1ABA7F"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 xml:space="preserve">Ubijaki </w:t>
            </w:r>
            <w:proofErr w:type="spellStart"/>
            <w:r w:rsidRPr="00160965">
              <w:rPr>
                <w:rFonts w:ascii="Aptos Display" w:eastAsia="Times New Roman" w:hAnsi="Aptos Display" w:cs="Times New Roman"/>
                <w:sz w:val="18"/>
                <w:szCs w:val="18"/>
              </w:rPr>
              <w:t>szybkouderzające</w:t>
            </w:r>
            <w:proofErr w:type="spellEnd"/>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457179AC"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0,4</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2D5585AA"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2 do4</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44F59DDA"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0,1 do 0,3</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1DB59EE5"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 do 5</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5B9D83D7"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0,2 do 0,4</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44D7C857"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 do 4</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52D8766" w14:textId="77777777" w:rsidR="00160965" w:rsidRPr="00160965" w:rsidRDefault="00160965" w:rsidP="00160965">
            <w:pPr>
              <w:pStyle w:val="StylIwony"/>
              <w:tabs>
                <w:tab w:val="left" w:pos="567"/>
              </w:tabs>
              <w:spacing w:before="6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6)</w:t>
            </w:r>
          </w:p>
        </w:tc>
      </w:tr>
      <w:tr w:rsidR="00160965" w:rsidRPr="00160965" w14:paraId="6D95CF1A" w14:textId="77777777" w:rsidTr="000F0899">
        <w:trPr>
          <w:trHeight w:val="765"/>
        </w:trPr>
        <w:tc>
          <w:tcPr>
            <w:tcW w:w="3165" w:type="dxa"/>
            <w:tcBorders>
              <w:left w:val="single" w:sz="2" w:space="0" w:color="000000"/>
              <w:bottom w:val="single" w:sz="2" w:space="0" w:color="000000"/>
            </w:tcBorders>
            <w:tcMar>
              <w:top w:w="55" w:type="dxa"/>
              <w:left w:w="55" w:type="dxa"/>
              <w:bottom w:w="55" w:type="dxa"/>
              <w:right w:w="55" w:type="dxa"/>
            </w:tcMar>
            <w:vAlign w:val="center"/>
          </w:tcPr>
          <w:p w14:paraId="27BDDD4A"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lastRenderedPageBreak/>
              <w:t>Ubijaki o masie od 1 do 10 Mg zrzucane z wysokości od 5 do 10 m</w:t>
            </w:r>
          </w:p>
        </w:tc>
        <w:tc>
          <w:tcPr>
            <w:tcW w:w="870" w:type="dxa"/>
            <w:tcBorders>
              <w:left w:val="single" w:sz="2" w:space="0" w:color="000000"/>
              <w:bottom w:val="single" w:sz="2" w:space="0" w:color="000000"/>
            </w:tcBorders>
            <w:tcMar>
              <w:top w:w="55" w:type="dxa"/>
              <w:left w:w="55" w:type="dxa"/>
              <w:bottom w:w="55" w:type="dxa"/>
              <w:right w:w="55" w:type="dxa"/>
            </w:tcMar>
            <w:vAlign w:val="center"/>
          </w:tcPr>
          <w:p w14:paraId="39DF19E1" w14:textId="77777777" w:rsidR="00160965" w:rsidRPr="00160965" w:rsidRDefault="00160965" w:rsidP="00160965">
            <w:pPr>
              <w:pStyle w:val="StylIwony"/>
              <w:tabs>
                <w:tab w:val="left" w:pos="567"/>
              </w:tabs>
              <w:snapToGrid w:val="0"/>
              <w:spacing w:before="0" w:after="0"/>
              <w:jc w:val="both"/>
              <w:rPr>
                <w:rFonts w:ascii="Aptos Display" w:eastAsia="Times New Roman" w:hAnsi="Aptos Display" w:cs="Times New Roman"/>
                <w:sz w:val="18"/>
                <w:szCs w:val="18"/>
              </w:rPr>
            </w:pPr>
          </w:p>
          <w:p w14:paraId="3EF096D8"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2,0 do 8,0</w:t>
            </w:r>
          </w:p>
        </w:tc>
        <w:tc>
          <w:tcPr>
            <w:tcW w:w="945" w:type="dxa"/>
            <w:tcBorders>
              <w:left w:val="single" w:sz="2" w:space="0" w:color="000000"/>
              <w:bottom w:val="single" w:sz="2" w:space="0" w:color="000000"/>
            </w:tcBorders>
            <w:tcMar>
              <w:top w:w="55" w:type="dxa"/>
              <w:left w:w="55" w:type="dxa"/>
              <w:bottom w:w="55" w:type="dxa"/>
              <w:right w:w="55" w:type="dxa"/>
            </w:tcMar>
            <w:vAlign w:val="center"/>
          </w:tcPr>
          <w:p w14:paraId="2ED7A899"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4 do 10 uderzeń w punkt</w:t>
            </w:r>
          </w:p>
        </w:tc>
        <w:tc>
          <w:tcPr>
            <w:tcW w:w="885" w:type="dxa"/>
            <w:tcBorders>
              <w:left w:val="single" w:sz="2" w:space="0" w:color="000000"/>
              <w:bottom w:val="single" w:sz="2" w:space="0" w:color="000000"/>
            </w:tcBorders>
            <w:tcMar>
              <w:top w:w="55" w:type="dxa"/>
              <w:left w:w="55" w:type="dxa"/>
              <w:bottom w:w="55" w:type="dxa"/>
              <w:right w:w="55" w:type="dxa"/>
            </w:tcMar>
            <w:vAlign w:val="center"/>
          </w:tcPr>
          <w:p w14:paraId="226BBE0A" w14:textId="77777777" w:rsidR="00160965" w:rsidRPr="00160965" w:rsidRDefault="00160965" w:rsidP="00160965">
            <w:pPr>
              <w:pStyle w:val="StylIwony"/>
              <w:tabs>
                <w:tab w:val="left" w:pos="567"/>
              </w:tabs>
              <w:snapToGrid w:val="0"/>
              <w:spacing w:before="0" w:after="0"/>
              <w:jc w:val="both"/>
              <w:rPr>
                <w:rFonts w:ascii="Aptos Display" w:eastAsia="Times New Roman" w:hAnsi="Aptos Display" w:cs="Times New Roman"/>
                <w:sz w:val="18"/>
                <w:szCs w:val="18"/>
              </w:rPr>
            </w:pPr>
          </w:p>
          <w:p w14:paraId="1A6651EA"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1,0 do 4,0</w:t>
            </w:r>
          </w:p>
        </w:tc>
        <w:tc>
          <w:tcPr>
            <w:tcW w:w="930" w:type="dxa"/>
            <w:tcBorders>
              <w:left w:val="single" w:sz="2" w:space="0" w:color="000000"/>
              <w:bottom w:val="single" w:sz="2" w:space="0" w:color="000000"/>
            </w:tcBorders>
            <w:tcMar>
              <w:top w:w="55" w:type="dxa"/>
              <w:left w:w="55" w:type="dxa"/>
              <w:bottom w:w="55" w:type="dxa"/>
              <w:right w:w="55" w:type="dxa"/>
            </w:tcMar>
            <w:vAlign w:val="center"/>
          </w:tcPr>
          <w:p w14:paraId="62612E09"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 do 6 uderzeń w punkt</w:t>
            </w:r>
          </w:p>
        </w:tc>
        <w:tc>
          <w:tcPr>
            <w:tcW w:w="825" w:type="dxa"/>
            <w:tcBorders>
              <w:left w:val="single" w:sz="2" w:space="0" w:color="000000"/>
              <w:bottom w:val="single" w:sz="2" w:space="0" w:color="000000"/>
            </w:tcBorders>
            <w:tcMar>
              <w:top w:w="55" w:type="dxa"/>
              <w:left w:w="55" w:type="dxa"/>
              <w:bottom w:w="55" w:type="dxa"/>
              <w:right w:w="55" w:type="dxa"/>
            </w:tcMar>
            <w:vAlign w:val="center"/>
          </w:tcPr>
          <w:p w14:paraId="452FF9AB" w14:textId="77777777" w:rsidR="00160965" w:rsidRPr="00160965" w:rsidRDefault="00160965" w:rsidP="00160965">
            <w:pPr>
              <w:pStyle w:val="StylIwony"/>
              <w:tabs>
                <w:tab w:val="left" w:pos="567"/>
              </w:tabs>
              <w:snapToGrid w:val="0"/>
              <w:spacing w:before="0" w:after="0"/>
              <w:jc w:val="both"/>
              <w:rPr>
                <w:rFonts w:ascii="Aptos Display" w:eastAsia="Times New Roman" w:hAnsi="Aptos Display" w:cs="Times New Roman"/>
                <w:sz w:val="18"/>
                <w:szCs w:val="18"/>
              </w:rPr>
            </w:pPr>
          </w:p>
          <w:p w14:paraId="5C89EC43"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1,0 do 5,0</w:t>
            </w:r>
          </w:p>
        </w:tc>
        <w:tc>
          <w:tcPr>
            <w:tcW w:w="813" w:type="dxa"/>
            <w:tcBorders>
              <w:left w:val="single" w:sz="2" w:space="0" w:color="000000"/>
              <w:bottom w:val="single" w:sz="2" w:space="0" w:color="000000"/>
            </w:tcBorders>
            <w:tcMar>
              <w:top w:w="55" w:type="dxa"/>
              <w:left w:w="55" w:type="dxa"/>
              <w:bottom w:w="55" w:type="dxa"/>
              <w:right w:w="55" w:type="dxa"/>
            </w:tcMar>
            <w:vAlign w:val="center"/>
          </w:tcPr>
          <w:p w14:paraId="3239A9B2" w14:textId="77777777" w:rsidR="00160965" w:rsidRPr="00160965" w:rsidRDefault="00160965" w:rsidP="00160965">
            <w:pPr>
              <w:pStyle w:val="StylIwony"/>
              <w:tabs>
                <w:tab w:val="left" w:pos="567"/>
              </w:tabs>
              <w:spacing w:before="0" w:after="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3 do 6 uderzeń w punkt</w:t>
            </w:r>
          </w:p>
        </w:tc>
        <w:tc>
          <w:tcPr>
            <w:tcW w:w="1212"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92FE5F5" w14:textId="77777777" w:rsidR="00160965" w:rsidRPr="00160965" w:rsidRDefault="00160965" w:rsidP="00160965">
            <w:pPr>
              <w:pStyle w:val="StylIwony"/>
              <w:tabs>
                <w:tab w:val="left" w:pos="567"/>
              </w:tabs>
              <w:snapToGrid w:val="0"/>
              <w:spacing w:before="0" w:after="0"/>
              <w:jc w:val="both"/>
              <w:rPr>
                <w:rFonts w:ascii="Aptos Display" w:eastAsia="Times New Roman" w:hAnsi="Aptos Display" w:cs="Times New Roman"/>
                <w:sz w:val="18"/>
                <w:szCs w:val="18"/>
              </w:rPr>
            </w:pPr>
          </w:p>
        </w:tc>
      </w:tr>
    </w:tbl>
    <w:p w14:paraId="2737164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Walce statyczne są mało przydatne w gruntach kamienistych.</w:t>
      </w:r>
    </w:p>
    <w:p w14:paraId="075D6E32"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Wibracyjnie należy zagęszczać warstwy grubości ³ 15 cm, cieńsze warstwy należy zagęszczać statycznie.</w:t>
      </w:r>
    </w:p>
    <w:p w14:paraId="2659189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Wartości orientacyjne, właściwe należy ustalić na odcinku doświadczalnym.</w:t>
      </w:r>
    </w:p>
    <w:p w14:paraId="4310CA3F"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Uwagi:</w:t>
      </w:r>
    </w:p>
    <w:p w14:paraId="762B9C9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1) Do zagęszczania górnych warstw podłoża. Zalecane do codziennego wygładzania (przywałowania) gruntów spoistych w miejscu pobrania i w nasypie.</w:t>
      </w:r>
    </w:p>
    <w:p w14:paraId="0224290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2) Nie nadają się do gruntów nawodnionych.</w:t>
      </w:r>
    </w:p>
    <w:p w14:paraId="40478E7F"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3) Mało przydatne w gruntach spoistych.</w:t>
      </w:r>
    </w:p>
    <w:p w14:paraId="14326F8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4) Do gruntów spoistych przydatne są walce średnie i ciężkie, do gruntów kamienistych walce bardzo ciężkie.</w:t>
      </w:r>
    </w:p>
    <w:p w14:paraId="6DECC91B"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5) Zalecane do piasków pylastych i gliniastych, pospółek gliniastych i glin piaszczystych.</w:t>
      </w:r>
    </w:p>
    <w:p w14:paraId="2FEC0CD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6) Zalecane do zasypek wąskich przekopów.</w:t>
      </w:r>
    </w:p>
    <w:p w14:paraId="0DB4791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5F95D539"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TRANSPORT</w:t>
      </w:r>
    </w:p>
    <w:p w14:paraId="1221C733"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wymagania dotyczące transportu podano w SST D-02.00.01 pkt 4.</w:t>
      </w:r>
    </w:p>
    <w:p w14:paraId="34E39AB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1AB21D65"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WYKONANIE ROBÓT</w:t>
      </w:r>
    </w:p>
    <w:p w14:paraId="3E1E5BCC"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wykonania robót</w:t>
      </w:r>
    </w:p>
    <w:p w14:paraId="2DB46C1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wykonania robót podano w SST D-02.00.01 pkt 5.</w:t>
      </w:r>
    </w:p>
    <w:p w14:paraId="7DA4678D"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Ukop i dokop</w:t>
      </w:r>
    </w:p>
    <w:p w14:paraId="27259651"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Miejsce ukopu lub dokopu</w:t>
      </w:r>
    </w:p>
    <w:p w14:paraId="6804724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Miejsce ukopu lub dokopu powinno być wskazane w dokumentacji projektowej, w innych dokumentach kontraktowych lub przez Inżyniera. Jeżeli miejsce to zostało wybrane przez Wykonawcę, musi być ono zaakceptowane przez Inżyniera. 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14:paraId="0DA0C0E6"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Zasady prowadzenia robót w ukopie i dokopie</w:t>
      </w:r>
    </w:p>
    <w:p w14:paraId="6B14E662"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Pozyskiwanie gruntu z ukopu lub dokopu może rozpocząć się dopiero po pobraniu próbek i zbadaniu przydatności zalegającego gruntu do budowy nasypów oraz po wydaniu zgody na piśmie przez Inżyniera. Głębokość na jaką należy ocenić przydatność gruntu powinna być dostosowana do zakresu prac. 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 Dno ukopu należy wykonać ze spadkiem od 2 do 3% w kierunku możliwego spływu wody. O ile to konieczne, ukop (dokop) należy odwodnić przez wykonanie rowu odpływowego. </w:t>
      </w:r>
      <w:r w:rsidRPr="00160965">
        <w:rPr>
          <w:rFonts w:ascii="Aptos Display" w:hAnsi="Aptos Display"/>
          <w:sz w:val="18"/>
          <w:szCs w:val="18"/>
        </w:rPr>
        <w:tab/>
        <w:t>Jeżeli ukop jest zlokalizowany na zboczu, nie może on naruszać stateczności zbocza. Dno i skarpy ukopu po zakończeniu jego eksploatacji powinny być tak ukształtowane, aby harmonizowały z otaczającym terenem. Na dnie i skarpach ukopu należy przeprowadzić rekultywację według odrębnej dokumentacji projektowej.</w:t>
      </w:r>
    </w:p>
    <w:p w14:paraId="1BD72B99"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Wykonanie nasypów</w:t>
      </w:r>
    </w:p>
    <w:p w14:paraId="28B058F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14:paraId="1050A63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14:paraId="01043F5B"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1AFF3737"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Tablica 3. Minimalne wartości wskaźnika zagęszczenia dla podłoża nasypów do głębokości 0,5 m od powierzchni</w:t>
      </w:r>
    </w:p>
    <w:tbl>
      <w:tblPr>
        <w:tblW w:w="6735" w:type="dxa"/>
        <w:tblInd w:w="58" w:type="dxa"/>
        <w:tblLayout w:type="fixed"/>
        <w:tblCellMar>
          <w:left w:w="10" w:type="dxa"/>
          <w:right w:w="10" w:type="dxa"/>
        </w:tblCellMar>
        <w:tblLook w:val="0000" w:firstRow="0" w:lastRow="0" w:firstColumn="0" w:lastColumn="0" w:noHBand="0" w:noVBand="0"/>
      </w:tblPr>
      <w:tblGrid>
        <w:gridCol w:w="3614"/>
        <w:gridCol w:w="3121"/>
      </w:tblGrid>
      <w:tr w:rsidR="00160965" w:rsidRPr="00160965" w14:paraId="3582E91A" w14:textId="77777777" w:rsidTr="000F0899">
        <w:tc>
          <w:tcPr>
            <w:tcW w:w="3614"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BF5F274" w14:textId="77777777" w:rsidR="00160965" w:rsidRPr="00160965" w:rsidRDefault="00160965" w:rsidP="00160965">
            <w:pPr>
              <w:pStyle w:val="Standard"/>
              <w:tabs>
                <w:tab w:val="left" w:pos="567"/>
              </w:tabs>
              <w:spacing w:before="12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Nasypy o wysokości [m]</w:t>
            </w:r>
          </w:p>
        </w:tc>
        <w:tc>
          <w:tcPr>
            <w:tcW w:w="312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35631755" w14:textId="77777777" w:rsidR="00160965" w:rsidRPr="00160965" w:rsidRDefault="00160965" w:rsidP="00160965">
            <w:pPr>
              <w:pStyle w:val="Standard"/>
              <w:tabs>
                <w:tab w:val="left" w:pos="567"/>
              </w:tabs>
              <w:spacing w:before="6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Minimalna wartość I</w:t>
            </w:r>
            <w:r w:rsidRPr="00160965">
              <w:rPr>
                <w:rFonts w:ascii="Aptos Display" w:eastAsia="Times New Roman" w:hAnsi="Aptos Display" w:cs="Times New Roman"/>
                <w:sz w:val="18"/>
                <w:szCs w:val="18"/>
                <w:vertAlign w:val="subscript"/>
              </w:rPr>
              <w:t>s</w:t>
            </w:r>
          </w:p>
        </w:tc>
      </w:tr>
      <w:tr w:rsidR="00160965" w:rsidRPr="00160965" w14:paraId="0DF3AD07" w14:textId="77777777" w:rsidTr="000F0899">
        <w:tc>
          <w:tcPr>
            <w:tcW w:w="3614"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7A356063" w14:textId="77777777" w:rsidR="00160965" w:rsidRPr="00160965" w:rsidRDefault="00160965" w:rsidP="00160965">
            <w:pPr>
              <w:tabs>
                <w:tab w:val="left" w:pos="567"/>
              </w:tabs>
              <w:jc w:val="both"/>
              <w:rPr>
                <w:rFonts w:ascii="Aptos Display" w:hAnsi="Aptos Display"/>
                <w:sz w:val="18"/>
                <w:szCs w:val="18"/>
              </w:rPr>
            </w:pPr>
          </w:p>
        </w:tc>
        <w:tc>
          <w:tcPr>
            <w:tcW w:w="312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CBF9CEA" w14:textId="77777777" w:rsidR="00160965" w:rsidRPr="00160965" w:rsidRDefault="00160965" w:rsidP="00160965">
            <w:pPr>
              <w:pStyle w:val="Standard"/>
              <w:tabs>
                <w:tab w:val="left" w:pos="567"/>
              </w:tabs>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kategoria ruchu KR4</w:t>
            </w:r>
          </w:p>
        </w:tc>
      </w:tr>
      <w:tr w:rsidR="00160965" w:rsidRPr="00160965" w14:paraId="2926DBC0" w14:textId="77777777" w:rsidTr="000F0899">
        <w:tc>
          <w:tcPr>
            <w:tcW w:w="3614" w:type="dxa"/>
            <w:tcBorders>
              <w:left w:val="single" w:sz="2" w:space="0" w:color="000000"/>
              <w:bottom w:val="single" w:sz="2" w:space="0" w:color="000000"/>
            </w:tcBorders>
            <w:tcMar>
              <w:top w:w="55" w:type="dxa"/>
              <w:left w:w="55" w:type="dxa"/>
              <w:bottom w:w="55" w:type="dxa"/>
              <w:right w:w="55" w:type="dxa"/>
            </w:tcMar>
            <w:vAlign w:val="center"/>
          </w:tcPr>
          <w:p w14:paraId="5841AE4C" w14:textId="77777777" w:rsidR="00160965" w:rsidRPr="00160965" w:rsidRDefault="00160965" w:rsidP="00160965">
            <w:pPr>
              <w:pStyle w:val="Standard"/>
              <w:tabs>
                <w:tab w:val="left" w:pos="567"/>
              </w:tabs>
              <w:spacing w:before="60" w:after="60"/>
              <w:jc w:val="both"/>
              <w:rPr>
                <w:rFonts w:ascii="Aptos Display" w:hAnsi="Aptos Display"/>
                <w:sz w:val="18"/>
                <w:szCs w:val="18"/>
              </w:rPr>
            </w:pPr>
            <w:r w:rsidRPr="00160965">
              <w:rPr>
                <w:rFonts w:ascii="Aptos Display" w:eastAsia="Times New Roman" w:hAnsi="Aptos Display" w:cs="Times New Roman"/>
                <w:sz w:val="18"/>
                <w:szCs w:val="18"/>
              </w:rPr>
              <w:t xml:space="preserve">H </w:t>
            </w:r>
            <w:r w:rsidRPr="00160965">
              <w:rPr>
                <w:rFonts w:ascii="Aptos Display" w:hAnsi="Aptos Display"/>
                <w:sz w:val="18"/>
                <w:szCs w:val="18"/>
              </w:rPr>
              <w:t>≤ 1,2</w:t>
            </w:r>
          </w:p>
        </w:tc>
        <w:tc>
          <w:tcPr>
            <w:tcW w:w="312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AC881C2" w14:textId="77777777" w:rsidR="00160965" w:rsidRPr="00160965" w:rsidRDefault="00160965" w:rsidP="00160965">
            <w:pPr>
              <w:pStyle w:val="Standard"/>
              <w:tabs>
                <w:tab w:val="left" w:pos="567"/>
              </w:tabs>
              <w:spacing w:before="60" w:after="6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1,00</w:t>
            </w:r>
          </w:p>
        </w:tc>
      </w:tr>
      <w:tr w:rsidR="00160965" w:rsidRPr="00160965" w14:paraId="4494EDF4" w14:textId="77777777" w:rsidTr="000F0899">
        <w:tc>
          <w:tcPr>
            <w:tcW w:w="3614" w:type="dxa"/>
            <w:tcBorders>
              <w:left w:val="single" w:sz="2" w:space="0" w:color="000000"/>
              <w:bottom w:val="single" w:sz="2" w:space="0" w:color="000000"/>
            </w:tcBorders>
            <w:tcMar>
              <w:top w:w="55" w:type="dxa"/>
              <w:left w:w="55" w:type="dxa"/>
              <w:bottom w:w="55" w:type="dxa"/>
              <w:right w:w="55" w:type="dxa"/>
            </w:tcMar>
            <w:vAlign w:val="center"/>
          </w:tcPr>
          <w:p w14:paraId="52C91A5C" w14:textId="77777777" w:rsidR="00160965" w:rsidRPr="00160965" w:rsidRDefault="00160965" w:rsidP="00160965">
            <w:pPr>
              <w:pStyle w:val="Standard"/>
              <w:tabs>
                <w:tab w:val="left" w:pos="567"/>
              </w:tabs>
              <w:spacing w:before="60" w:after="60"/>
              <w:jc w:val="both"/>
              <w:rPr>
                <w:rFonts w:ascii="Aptos Display" w:hAnsi="Aptos Display"/>
                <w:sz w:val="18"/>
                <w:szCs w:val="18"/>
              </w:rPr>
            </w:pPr>
            <w:r w:rsidRPr="00160965">
              <w:rPr>
                <w:rFonts w:ascii="Aptos Display" w:eastAsia="Times New Roman" w:hAnsi="Aptos Display" w:cs="Times New Roman"/>
                <w:sz w:val="18"/>
                <w:szCs w:val="18"/>
              </w:rPr>
              <w:t xml:space="preserve">1,2 &lt; H </w:t>
            </w:r>
            <w:r w:rsidRPr="00160965">
              <w:rPr>
                <w:rFonts w:ascii="Aptos Display" w:hAnsi="Aptos Display"/>
                <w:sz w:val="18"/>
                <w:szCs w:val="18"/>
              </w:rPr>
              <w:t>≤ 2,0</w:t>
            </w:r>
          </w:p>
        </w:tc>
        <w:tc>
          <w:tcPr>
            <w:tcW w:w="3121"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08050B73" w14:textId="77777777" w:rsidR="00160965" w:rsidRPr="00160965" w:rsidRDefault="00160965" w:rsidP="00160965">
            <w:pPr>
              <w:pStyle w:val="Standard"/>
              <w:tabs>
                <w:tab w:val="left" w:pos="567"/>
              </w:tabs>
              <w:spacing w:before="60" w:after="6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0,97</w:t>
            </w:r>
          </w:p>
        </w:tc>
      </w:tr>
    </w:tbl>
    <w:p w14:paraId="207985CE" w14:textId="77777777" w:rsidR="00160965" w:rsidRPr="00160965" w:rsidRDefault="00160965" w:rsidP="00160965">
      <w:pPr>
        <w:tabs>
          <w:tab w:val="left" w:pos="567"/>
        </w:tabs>
        <w:jc w:val="both"/>
        <w:rPr>
          <w:rFonts w:ascii="Aptos Display" w:hAnsi="Aptos Display"/>
          <w:vanish/>
          <w:sz w:val="18"/>
          <w:szCs w:val="18"/>
        </w:rPr>
      </w:pPr>
    </w:p>
    <w:tbl>
      <w:tblPr>
        <w:tblW w:w="6735" w:type="dxa"/>
        <w:tblInd w:w="58" w:type="dxa"/>
        <w:tblLayout w:type="fixed"/>
        <w:tblCellMar>
          <w:left w:w="10" w:type="dxa"/>
          <w:right w:w="10" w:type="dxa"/>
        </w:tblCellMar>
        <w:tblLook w:val="0000" w:firstRow="0" w:lastRow="0" w:firstColumn="0" w:lastColumn="0" w:noHBand="0" w:noVBand="0"/>
      </w:tblPr>
      <w:tblGrid>
        <w:gridCol w:w="3614"/>
        <w:gridCol w:w="3121"/>
      </w:tblGrid>
      <w:tr w:rsidR="00160965" w:rsidRPr="00160965" w14:paraId="6FE39B49" w14:textId="77777777" w:rsidTr="000F0899">
        <w:tc>
          <w:tcPr>
            <w:tcW w:w="3614"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710EF358" w14:textId="77777777" w:rsidR="00160965" w:rsidRPr="00160965" w:rsidRDefault="00160965" w:rsidP="00160965">
            <w:pPr>
              <w:pStyle w:val="Standard"/>
              <w:tabs>
                <w:tab w:val="left" w:pos="567"/>
              </w:tabs>
              <w:spacing w:before="60" w:after="60"/>
              <w:jc w:val="both"/>
              <w:rPr>
                <w:rFonts w:ascii="Aptos Display" w:hAnsi="Aptos Display"/>
                <w:sz w:val="18"/>
                <w:szCs w:val="18"/>
              </w:rPr>
            </w:pPr>
            <w:r w:rsidRPr="00160965">
              <w:rPr>
                <w:rFonts w:ascii="Aptos Display" w:hAnsi="Aptos Display"/>
                <w:sz w:val="18"/>
                <w:szCs w:val="18"/>
              </w:rPr>
              <w:t>H &gt; 2,0</w:t>
            </w:r>
          </w:p>
        </w:tc>
        <w:tc>
          <w:tcPr>
            <w:tcW w:w="312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659A6A0E" w14:textId="77777777" w:rsidR="00160965" w:rsidRPr="00160965" w:rsidRDefault="00160965" w:rsidP="00160965">
            <w:pPr>
              <w:pStyle w:val="Standard"/>
              <w:tabs>
                <w:tab w:val="left" w:pos="567"/>
              </w:tabs>
              <w:spacing w:before="60" w:after="6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0,97</w:t>
            </w:r>
          </w:p>
        </w:tc>
      </w:tr>
    </w:tbl>
    <w:p w14:paraId="09C9378F"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07651C2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Dodatkowo można sprawdzić nośność warstwy gruntu podłoża nasypu na podstawie pomiaru wtórnego modułu odkształcenia E2 zgodnie z PN-02205:1998 rysunek 3.</w:t>
      </w:r>
    </w:p>
    <w:p w14:paraId="4CF4D3C9" w14:textId="77777777" w:rsidR="00160965" w:rsidRPr="00160965" w:rsidRDefault="00160965" w:rsidP="00160965">
      <w:pPr>
        <w:pStyle w:val="Standard"/>
        <w:numPr>
          <w:ilvl w:val="3"/>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lastRenderedPageBreak/>
        <w:t>Spulchnienie gruntów w podłożu nasypów</w:t>
      </w:r>
    </w:p>
    <w:p w14:paraId="676DAFE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Jeżeli nasyp ma być budowany na powierzchni skały lub na innej gładkiej powierzchni, to przed przystąpieniem do budowy nasypu powinna ona być rozdrobniona lub spulchniona na głębokość co najmniej 15 cm, w celu poprawy jej powiązania z podstawą nasypu.</w:t>
      </w:r>
    </w:p>
    <w:p w14:paraId="7601B0EA"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Wybór gruntów i materiałów do wykonania nasypów</w:t>
      </w:r>
    </w:p>
    <w:p w14:paraId="39ED0136"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Wybór gruntów i materiałów do wykonania nasypów powinien być dokonany z uwzględnieniem zasad podanych w punkcie 2.</w:t>
      </w:r>
    </w:p>
    <w:p w14:paraId="5454465D"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Zasady wykonania nasypów</w:t>
      </w:r>
    </w:p>
    <w:p w14:paraId="401C3E25" w14:textId="77777777" w:rsidR="00160965" w:rsidRPr="00160965" w:rsidRDefault="00160965" w:rsidP="00160965">
      <w:pPr>
        <w:pStyle w:val="Standard"/>
        <w:numPr>
          <w:ilvl w:val="3"/>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wykonywania nasypów</w:t>
      </w:r>
    </w:p>
    <w:p w14:paraId="1688DB8C"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t>
      </w:r>
      <w:r w:rsidRPr="00160965">
        <w:rPr>
          <w:rFonts w:ascii="Aptos Display" w:hAnsi="Aptos Display"/>
          <w:sz w:val="18"/>
          <w:szCs w:val="18"/>
        </w:rPr>
        <w:tab/>
        <w:t>Nasypy powinny być wznoszone przy zachowaniu przekroju poprzecznego i profilu podłużnego, które określono w dokumentacji projektowej, z uwzględnieniem ewentualnych zmian wprowadzonych zawczasu przez Inżyniera.</w:t>
      </w:r>
    </w:p>
    <w:p w14:paraId="1B5B55F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 celu zapewnienia stateczności nasypu i jego równomiernego osiadania należy przestrzegać następujących zasad:</w:t>
      </w:r>
    </w:p>
    <w:p w14:paraId="19FE935E"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a) Nasypy należy wykonywać metodą warstwową, z gruntów przydatnych do budowy nasypów. Nasypy powinny być wznoszone równomiernie na całej szerokości.</w:t>
      </w:r>
    </w:p>
    <w:p w14:paraId="5668496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b) 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14:paraId="79D5B0F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c) Grunty o różnych właściwościach należy wbudowywać w oddzielnych warstwach, o jednakowej grubości na całej szerokości nasypu. Grunty spoiste należy wbudowywać w dolne, a grunty niespoiste w górne warstwy nasypu.</w:t>
      </w:r>
    </w:p>
    <w:p w14:paraId="15F3C45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d) Warstwy gruntu przepuszczalnego należy wbudowywać poziomo, a warstwy gruntu mało przepuszczalnego (o współczynniku K1010-5 m/s) ze spadkiem górnej powierzchni około 4% ±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43BEE1D7"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e) 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14:paraId="0CEAD877"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f) Górną warstwę nasypu, o grubości co najmniej 0,5 m należy wykonać z gruntów </w:t>
      </w:r>
      <w:proofErr w:type="spellStart"/>
      <w:r w:rsidRPr="00160965">
        <w:rPr>
          <w:rFonts w:ascii="Aptos Display" w:hAnsi="Aptos Display"/>
          <w:sz w:val="18"/>
          <w:szCs w:val="18"/>
        </w:rPr>
        <w:t>niewysadzinowych</w:t>
      </w:r>
      <w:proofErr w:type="spellEnd"/>
      <w:r w:rsidRPr="00160965">
        <w:rPr>
          <w:rFonts w:ascii="Aptos Display" w:hAnsi="Aptos Display"/>
          <w:sz w:val="18"/>
          <w:szCs w:val="18"/>
        </w:rPr>
        <w:t xml:space="preserve">, o wskaźniku wodoprzepuszczalności K10 </w:t>
      </w:r>
      <w:r w:rsidRPr="00160965">
        <w:rPr>
          <w:rFonts w:ascii="Aptos Display" w:hAnsi="Aptos Display"/>
          <w:sz w:val="18"/>
          <w:szCs w:val="18"/>
        </w:rPr>
        <w:t xml:space="preserve"> 6 10 –5 m/s i wskaźniku różnoziarnistości U </w:t>
      </w:r>
      <w:r w:rsidRPr="00160965">
        <w:rPr>
          <w:rFonts w:ascii="Aptos Display" w:hAnsi="Aptos Display"/>
          <w:sz w:val="18"/>
          <w:szCs w:val="18"/>
        </w:rPr>
        <w:t>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14:paraId="287EFB2A"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g) Na terenach o wysokim stanie wód gruntowych oraz na terenach zalewowych dolne warstwy nasypu, o grubości co najmniej 0,5 m powyżej najwyższego poziomu wody, należy wykonać z gruntu przepuszczalnego.</w:t>
      </w:r>
    </w:p>
    <w:p w14:paraId="2A763AFF"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i) Grunt przewieziony w miejsce wbudowania powinien być bezzwłocznie wbudowany w nasyp. Inżynier może dopuścić czasowe składowanie gruntu, pod warunkiem jego zabezpieczenia przed nadmiernym zawilgoceniem.</w:t>
      </w:r>
    </w:p>
    <w:p w14:paraId="14C22015"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Zagęszczenie gruntu</w:t>
      </w:r>
    </w:p>
    <w:p w14:paraId="76557821" w14:textId="77777777" w:rsidR="00160965" w:rsidRPr="00160965" w:rsidRDefault="00160965" w:rsidP="00160965">
      <w:pPr>
        <w:pStyle w:val="Standard"/>
        <w:numPr>
          <w:ilvl w:val="3"/>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zagęszczania gruntu</w:t>
      </w:r>
    </w:p>
    <w:p w14:paraId="47EE7429"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Każda warstwa gruntu jak najszybciej po jej rozłożeniu, powinna być zagęszczona z zastosowaniem sprzętu odpowiedniego dla danego rodzaju gruntu oraz występujących warunków. Rozłożone warstwy gruntu należy zagęszczać od krawędzi nasypu w kierunku jego osi.</w:t>
      </w:r>
    </w:p>
    <w:p w14:paraId="21EB3192" w14:textId="77777777" w:rsidR="00160965" w:rsidRPr="00160965" w:rsidRDefault="00160965" w:rsidP="00160965">
      <w:pPr>
        <w:pStyle w:val="Standard"/>
        <w:numPr>
          <w:ilvl w:val="3"/>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Grubość warstwy</w:t>
      </w:r>
    </w:p>
    <w:p w14:paraId="56D97E5C"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t>
      </w:r>
      <w:r w:rsidRPr="00160965">
        <w:rPr>
          <w:rFonts w:ascii="Aptos Display" w:hAnsi="Aptos Display"/>
          <w:sz w:val="18"/>
          <w:szCs w:val="18"/>
        </w:rPr>
        <w:tab/>
        <w:t>Grubość warstwy zagęszczonego gruntu oraz liczbę przejść maszyny zagęszczającej zaleca się określić doświadczalnie dla każdego rodzaju gruntu i typu maszyny, zgodnie z zasadami podanymi w punkcie 5.3.4.5. Orientacyjne wartości, dotyczące grubości warstw różnych gruntów oraz liczby przejazdów różnych maszyn do zagęszczania podano w punkcie 3.</w:t>
      </w:r>
    </w:p>
    <w:p w14:paraId="70D184D5" w14:textId="77777777" w:rsidR="00160965" w:rsidRPr="00160965" w:rsidRDefault="00160965" w:rsidP="00160965">
      <w:pPr>
        <w:pStyle w:val="Standard"/>
        <w:numPr>
          <w:ilvl w:val="3"/>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Wilgotność gruntu</w:t>
      </w:r>
    </w:p>
    <w:p w14:paraId="30E1D16C"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Wilgotność gruntu w czasie zagęszczania powinna być równa wilgotności optymalnej, z tolerancją:</w:t>
      </w:r>
    </w:p>
    <w:p w14:paraId="622BE16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a) w gruntach niespoistych ±2 %</w:t>
      </w:r>
    </w:p>
    <w:p w14:paraId="4872AC4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b) w gruntach mało i średnio spoistych +0 %,  -2 %</w:t>
      </w:r>
    </w:p>
    <w:p w14:paraId="72479EF7"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t>
      </w:r>
      <w:r w:rsidRPr="00160965">
        <w:rPr>
          <w:rFonts w:ascii="Aptos Display" w:hAnsi="Aptos Display"/>
          <w:sz w:val="18"/>
          <w:szCs w:val="18"/>
        </w:rPr>
        <w:tab/>
        <w:t>Sprawdzenie wilgotności gruntu należy przeprowadzać laboratoryjnie, z częstotliwością określoną w punktach 6.3.2 i 6.3.3.</w:t>
      </w:r>
    </w:p>
    <w:p w14:paraId="40AA6A02" w14:textId="77777777" w:rsidR="00160965" w:rsidRPr="00160965" w:rsidRDefault="00160965" w:rsidP="00160965">
      <w:pPr>
        <w:pStyle w:val="Standard"/>
        <w:numPr>
          <w:ilvl w:val="3"/>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Wymagania dotyczące zagęszczania</w:t>
      </w:r>
    </w:p>
    <w:p w14:paraId="64B1A75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 zależności od uziarnienia stosowanych materiałów, zagęszczenie warstwy należy określać za pomocą oznaczenia wskaźnika zagęszczenia lub porównania pierwotnego i wtórnego modułu odkształcenia.</w:t>
      </w:r>
    </w:p>
    <w:p w14:paraId="0E6E966C"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Kontrolę zagęszczenia na podstawie porównania pierwotnego i wtórnego modułu odkształcenia, określonych zgodnie z normą PN-S-02205:1998, należy stosować tylko dla gruntów gruboziarnistych, dla których nie jest możliwe określenie wskaźnika zagęszczenia Is, według BN-77/8931-12. Wskaźnik zagęszczenia gruntów w nasypach, określony według normy BN-77/8931-12, powinien na całej szerokości korpusu spełniać wymagania podane w tablicy 4.</w:t>
      </w:r>
    </w:p>
    <w:p w14:paraId="438D5579" w14:textId="77777777" w:rsidR="00160965" w:rsidRDefault="00160965" w:rsidP="00160965">
      <w:pPr>
        <w:pStyle w:val="Standard"/>
        <w:tabs>
          <w:tab w:val="left" w:pos="567"/>
          <w:tab w:val="right" w:leader="dot" w:pos="7937"/>
        </w:tabs>
        <w:jc w:val="both"/>
        <w:rPr>
          <w:rFonts w:ascii="Aptos Display" w:hAnsi="Aptos Display"/>
          <w:sz w:val="18"/>
          <w:szCs w:val="18"/>
        </w:rPr>
      </w:pPr>
    </w:p>
    <w:p w14:paraId="643E81A0" w14:textId="77777777" w:rsidR="00160965" w:rsidRDefault="00160965" w:rsidP="00160965">
      <w:pPr>
        <w:pStyle w:val="Standard"/>
        <w:tabs>
          <w:tab w:val="left" w:pos="567"/>
          <w:tab w:val="right" w:leader="dot" w:pos="7937"/>
        </w:tabs>
        <w:jc w:val="both"/>
        <w:rPr>
          <w:rFonts w:ascii="Aptos Display" w:hAnsi="Aptos Display"/>
          <w:sz w:val="18"/>
          <w:szCs w:val="18"/>
        </w:rPr>
      </w:pPr>
    </w:p>
    <w:p w14:paraId="0A9909DC" w14:textId="77777777" w:rsidR="00160965" w:rsidRDefault="00160965" w:rsidP="00160965">
      <w:pPr>
        <w:pStyle w:val="Standard"/>
        <w:tabs>
          <w:tab w:val="left" w:pos="567"/>
          <w:tab w:val="right" w:leader="dot" w:pos="7937"/>
        </w:tabs>
        <w:jc w:val="both"/>
        <w:rPr>
          <w:rFonts w:ascii="Aptos Display" w:hAnsi="Aptos Display"/>
          <w:sz w:val="18"/>
          <w:szCs w:val="18"/>
        </w:rPr>
      </w:pPr>
    </w:p>
    <w:p w14:paraId="4780639D" w14:textId="77777777" w:rsidR="00160965" w:rsidRDefault="00160965" w:rsidP="00160965">
      <w:pPr>
        <w:pStyle w:val="Standard"/>
        <w:tabs>
          <w:tab w:val="left" w:pos="567"/>
          <w:tab w:val="right" w:leader="dot" w:pos="7937"/>
        </w:tabs>
        <w:jc w:val="both"/>
        <w:rPr>
          <w:rFonts w:ascii="Aptos Display" w:hAnsi="Aptos Display"/>
          <w:sz w:val="18"/>
          <w:szCs w:val="18"/>
        </w:rPr>
      </w:pPr>
    </w:p>
    <w:p w14:paraId="1110CB4B"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2014CB3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lastRenderedPageBreak/>
        <w:t>Tablica 4. Minimalne wartości wskaźnika zagęszczenia gruntu w nasypach</w:t>
      </w:r>
    </w:p>
    <w:tbl>
      <w:tblPr>
        <w:tblW w:w="7035" w:type="dxa"/>
        <w:tblLayout w:type="fixed"/>
        <w:tblCellMar>
          <w:left w:w="10" w:type="dxa"/>
          <w:right w:w="10" w:type="dxa"/>
        </w:tblCellMar>
        <w:tblLook w:val="0000" w:firstRow="0" w:lastRow="0" w:firstColumn="0" w:lastColumn="0" w:noHBand="0" w:noVBand="0"/>
      </w:tblPr>
      <w:tblGrid>
        <w:gridCol w:w="4425"/>
        <w:gridCol w:w="2610"/>
      </w:tblGrid>
      <w:tr w:rsidR="00160965" w:rsidRPr="00160965" w14:paraId="400CF19B" w14:textId="77777777" w:rsidTr="000F0899">
        <w:tc>
          <w:tcPr>
            <w:tcW w:w="442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8C3CE2C" w14:textId="77777777" w:rsidR="00160965" w:rsidRPr="00160965" w:rsidRDefault="00160965" w:rsidP="00160965">
            <w:pPr>
              <w:pStyle w:val="Standard"/>
              <w:tabs>
                <w:tab w:val="left" w:pos="567"/>
              </w:tabs>
              <w:snapToGrid w:val="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Strefa</w:t>
            </w:r>
          </w:p>
          <w:p w14:paraId="6AC950BD" w14:textId="77777777" w:rsidR="00160965" w:rsidRPr="00160965" w:rsidRDefault="00160965" w:rsidP="00160965">
            <w:pPr>
              <w:pStyle w:val="Standard"/>
              <w:tabs>
                <w:tab w:val="left" w:pos="567"/>
              </w:tabs>
              <w:snapToGrid w:val="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nasypu</w:t>
            </w:r>
          </w:p>
        </w:tc>
        <w:tc>
          <w:tcPr>
            <w:tcW w:w="261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482B4BEF" w14:textId="77777777" w:rsidR="00160965" w:rsidRPr="00160965" w:rsidRDefault="00160965" w:rsidP="00160965">
            <w:pPr>
              <w:pStyle w:val="Standard"/>
              <w:tabs>
                <w:tab w:val="left" w:pos="567"/>
              </w:tabs>
              <w:spacing w:before="6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Minimalna wartość I</w:t>
            </w:r>
            <w:r w:rsidRPr="00160965">
              <w:rPr>
                <w:rFonts w:ascii="Aptos Display" w:eastAsia="Times New Roman" w:hAnsi="Aptos Display" w:cs="Times New Roman"/>
                <w:sz w:val="18"/>
                <w:szCs w:val="18"/>
                <w:vertAlign w:val="subscript"/>
              </w:rPr>
              <w:t>s</w:t>
            </w:r>
            <w:r w:rsidRPr="00160965">
              <w:rPr>
                <w:rFonts w:ascii="Aptos Display" w:eastAsia="Times New Roman" w:hAnsi="Aptos Display" w:cs="Times New Roman"/>
                <w:sz w:val="18"/>
                <w:szCs w:val="18"/>
              </w:rPr>
              <w:t xml:space="preserve"> dla:</w:t>
            </w:r>
          </w:p>
        </w:tc>
      </w:tr>
      <w:tr w:rsidR="00160965" w:rsidRPr="00160965" w14:paraId="19B1D16B" w14:textId="77777777" w:rsidTr="000F0899">
        <w:tc>
          <w:tcPr>
            <w:tcW w:w="442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4B9DA2B9" w14:textId="77777777" w:rsidR="00160965" w:rsidRPr="00160965" w:rsidRDefault="00160965" w:rsidP="00160965">
            <w:pPr>
              <w:tabs>
                <w:tab w:val="left" w:pos="567"/>
              </w:tabs>
              <w:jc w:val="both"/>
              <w:rPr>
                <w:rFonts w:ascii="Aptos Display" w:hAnsi="Aptos Display"/>
                <w:sz w:val="18"/>
                <w:szCs w:val="18"/>
              </w:rPr>
            </w:pPr>
          </w:p>
        </w:tc>
        <w:tc>
          <w:tcPr>
            <w:tcW w:w="261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79785DC2" w14:textId="77777777" w:rsidR="00160965" w:rsidRPr="00160965" w:rsidRDefault="00160965" w:rsidP="00160965">
            <w:pPr>
              <w:pStyle w:val="Standard"/>
              <w:tabs>
                <w:tab w:val="left" w:pos="567"/>
              </w:tabs>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kategoria ruchu KR4</w:t>
            </w:r>
          </w:p>
        </w:tc>
      </w:tr>
      <w:tr w:rsidR="00160965" w:rsidRPr="00160965" w14:paraId="1B665E01" w14:textId="77777777" w:rsidTr="000F0899">
        <w:tc>
          <w:tcPr>
            <w:tcW w:w="4425" w:type="dxa"/>
            <w:tcBorders>
              <w:left w:val="single" w:sz="2" w:space="0" w:color="000000"/>
              <w:bottom w:val="single" w:sz="2" w:space="0" w:color="000000"/>
            </w:tcBorders>
            <w:tcMar>
              <w:top w:w="55" w:type="dxa"/>
              <w:left w:w="55" w:type="dxa"/>
              <w:bottom w:w="55" w:type="dxa"/>
              <w:right w:w="55" w:type="dxa"/>
            </w:tcMar>
            <w:vAlign w:val="center"/>
          </w:tcPr>
          <w:p w14:paraId="55BBA5C0" w14:textId="77777777" w:rsidR="00160965" w:rsidRPr="00160965" w:rsidRDefault="00160965" w:rsidP="00160965">
            <w:pPr>
              <w:pStyle w:val="Standard"/>
              <w:tabs>
                <w:tab w:val="left" w:pos="567"/>
              </w:tabs>
              <w:spacing w:before="120" w:after="12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Górna warstwa o grubości 20 cm</w:t>
            </w:r>
          </w:p>
        </w:tc>
        <w:tc>
          <w:tcPr>
            <w:tcW w:w="261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AD29337" w14:textId="77777777" w:rsidR="00160965" w:rsidRPr="00160965" w:rsidRDefault="00160965" w:rsidP="00160965">
            <w:pPr>
              <w:pStyle w:val="Standard"/>
              <w:tabs>
                <w:tab w:val="left" w:pos="567"/>
              </w:tabs>
              <w:spacing w:before="120" w:after="12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1,00</w:t>
            </w:r>
          </w:p>
        </w:tc>
      </w:tr>
      <w:tr w:rsidR="00160965" w:rsidRPr="00160965" w14:paraId="26271C66" w14:textId="77777777" w:rsidTr="000F0899">
        <w:tc>
          <w:tcPr>
            <w:tcW w:w="4425" w:type="dxa"/>
            <w:tcBorders>
              <w:left w:val="single" w:sz="2" w:space="0" w:color="000000"/>
              <w:bottom w:val="single" w:sz="2" w:space="0" w:color="000000"/>
            </w:tcBorders>
            <w:tcMar>
              <w:top w:w="55" w:type="dxa"/>
              <w:left w:w="55" w:type="dxa"/>
              <w:bottom w:w="55" w:type="dxa"/>
              <w:right w:w="55" w:type="dxa"/>
            </w:tcMar>
            <w:vAlign w:val="center"/>
          </w:tcPr>
          <w:p w14:paraId="4131089B" w14:textId="77777777" w:rsidR="00160965" w:rsidRPr="00160965" w:rsidRDefault="00160965" w:rsidP="00160965">
            <w:pPr>
              <w:pStyle w:val="Stopka"/>
              <w:tabs>
                <w:tab w:val="clear" w:pos="4819"/>
                <w:tab w:val="clear" w:pos="9638"/>
                <w:tab w:val="left" w:pos="567"/>
              </w:tabs>
              <w:spacing w:before="12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Niżej leżące warstwy nasypu do głębokości</w:t>
            </w:r>
          </w:p>
          <w:p w14:paraId="1123FDA6" w14:textId="77777777" w:rsidR="00160965" w:rsidRPr="00160965" w:rsidRDefault="00160965" w:rsidP="00160965">
            <w:pPr>
              <w:pStyle w:val="Standard"/>
              <w:tabs>
                <w:tab w:val="left" w:pos="567"/>
              </w:tabs>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od powierzchni robót ziemnych:</w:t>
            </w:r>
          </w:p>
          <w:p w14:paraId="2CC68CE4" w14:textId="77777777" w:rsidR="00160965" w:rsidRPr="00160965" w:rsidRDefault="00160965" w:rsidP="00160965">
            <w:pPr>
              <w:pStyle w:val="Stopka"/>
              <w:tabs>
                <w:tab w:val="clear" w:pos="4819"/>
                <w:tab w:val="clear" w:pos="9638"/>
                <w:tab w:val="left" w:pos="567"/>
              </w:tabs>
              <w:spacing w:after="12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- 0,2 do 1,2 m (inne drogi)</w:t>
            </w:r>
          </w:p>
        </w:tc>
        <w:tc>
          <w:tcPr>
            <w:tcW w:w="261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5817DA86" w14:textId="77777777" w:rsidR="00160965" w:rsidRPr="00160965" w:rsidRDefault="00160965" w:rsidP="00160965">
            <w:pPr>
              <w:pStyle w:val="Standard"/>
              <w:tabs>
                <w:tab w:val="left" w:pos="567"/>
              </w:tabs>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1</w:t>
            </w:r>
          </w:p>
        </w:tc>
      </w:tr>
      <w:tr w:rsidR="00160965" w:rsidRPr="00160965" w14:paraId="3CE45C48" w14:textId="77777777" w:rsidTr="000F0899">
        <w:tc>
          <w:tcPr>
            <w:tcW w:w="4425" w:type="dxa"/>
            <w:tcBorders>
              <w:left w:val="single" w:sz="2" w:space="0" w:color="000000"/>
              <w:bottom w:val="single" w:sz="2" w:space="0" w:color="000000"/>
            </w:tcBorders>
            <w:tcMar>
              <w:top w:w="55" w:type="dxa"/>
              <w:left w:w="55" w:type="dxa"/>
              <w:bottom w:w="55" w:type="dxa"/>
              <w:right w:w="55" w:type="dxa"/>
            </w:tcMar>
            <w:vAlign w:val="center"/>
          </w:tcPr>
          <w:p w14:paraId="4579471A" w14:textId="77777777" w:rsidR="00160965" w:rsidRPr="00160965" w:rsidRDefault="00160965" w:rsidP="00160965">
            <w:pPr>
              <w:pStyle w:val="Stopka"/>
              <w:tabs>
                <w:tab w:val="clear" w:pos="4819"/>
                <w:tab w:val="clear" w:pos="9638"/>
                <w:tab w:val="left" w:pos="567"/>
              </w:tabs>
              <w:spacing w:before="12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Warstwy nasypu na głębokości od powierz-</w:t>
            </w:r>
          </w:p>
          <w:p w14:paraId="58A98650" w14:textId="77777777" w:rsidR="00160965" w:rsidRPr="00160965" w:rsidRDefault="00160965" w:rsidP="00160965">
            <w:pPr>
              <w:pStyle w:val="Standard"/>
              <w:tabs>
                <w:tab w:val="left" w:pos="567"/>
              </w:tabs>
              <w:jc w:val="both"/>
              <w:rPr>
                <w:rFonts w:ascii="Aptos Display" w:eastAsia="Times New Roman" w:hAnsi="Aptos Display" w:cs="Times New Roman"/>
                <w:sz w:val="18"/>
                <w:szCs w:val="18"/>
              </w:rPr>
            </w:pPr>
            <w:proofErr w:type="spellStart"/>
            <w:r w:rsidRPr="00160965">
              <w:rPr>
                <w:rFonts w:ascii="Aptos Display" w:eastAsia="Times New Roman" w:hAnsi="Aptos Display" w:cs="Times New Roman"/>
                <w:sz w:val="18"/>
                <w:szCs w:val="18"/>
              </w:rPr>
              <w:t>chni</w:t>
            </w:r>
            <w:proofErr w:type="spellEnd"/>
            <w:r w:rsidRPr="00160965">
              <w:rPr>
                <w:rFonts w:ascii="Aptos Display" w:eastAsia="Times New Roman" w:hAnsi="Aptos Display" w:cs="Times New Roman"/>
                <w:sz w:val="18"/>
                <w:szCs w:val="18"/>
              </w:rPr>
              <w:t xml:space="preserve"> robót ziemnych poniżej:</w:t>
            </w:r>
          </w:p>
          <w:p w14:paraId="7A928B0B" w14:textId="77777777" w:rsidR="00160965" w:rsidRPr="00160965" w:rsidRDefault="00160965" w:rsidP="00160965">
            <w:pPr>
              <w:pStyle w:val="Stopka"/>
              <w:tabs>
                <w:tab w:val="clear" w:pos="4819"/>
                <w:tab w:val="clear" w:pos="9638"/>
                <w:tab w:val="left" w:pos="567"/>
              </w:tabs>
              <w:spacing w:after="120"/>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- 1,2 m (inne drogi)</w:t>
            </w:r>
          </w:p>
        </w:tc>
        <w:tc>
          <w:tcPr>
            <w:tcW w:w="2610"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62ED18FC" w14:textId="77777777" w:rsidR="00160965" w:rsidRPr="00160965" w:rsidRDefault="00160965" w:rsidP="00160965">
            <w:pPr>
              <w:pStyle w:val="Standard"/>
              <w:tabs>
                <w:tab w:val="left" w:pos="567"/>
              </w:tabs>
              <w:jc w:val="both"/>
              <w:rPr>
                <w:rFonts w:ascii="Aptos Display" w:eastAsia="Times New Roman" w:hAnsi="Aptos Display" w:cs="Times New Roman"/>
                <w:sz w:val="18"/>
                <w:szCs w:val="18"/>
              </w:rPr>
            </w:pPr>
            <w:r w:rsidRPr="00160965">
              <w:rPr>
                <w:rFonts w:ascii="Aptos Display" w:eastAsia="Times New Roman" w:hAnsi="Aptos Display" w:cs="Times New Roman"/>
                <w:sz w:val="18"/>
                <w:szCs w:val="18"/>
              </w:rPr>
              <w:t>0,97</w:t>
            </w:r>
          </w:p>
        </w:tc>
      </w:tr>
    </w:tbl>
    <w:p w14:paraId="1FB4FCBE"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7D50BC8B"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Jako zastępcze kryterium oceny wymaganego zagęszczenia gruntów dla których trudne jest pomierzenie wskaźnika zagęszczenia, przyjmuje się wartość wskaźnika odkształcenia I0 określonego zgodnie z normą PN-S-02205:1998.</w:t>
      </w:r>
    </w:p>
    <w:p w14:paraId="1D5E113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Wskaźnik odkształcenia nie powinien być większy niż:</w:t>
      </w:r>
    </w:p>
    <w:p w14:paraId="3CC63F78"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a) dla żwirów, pospółek i piasków</w:t>
      </w:r>
    </w:p>
    <w:p w14:paraId="1C7DC10D" w14:textId="77777777" w:rsidR="00160965" w:rsidRPr="00160965" w:rsidRDefault="00160965" w:rsidP="00160965">
      <w:pPr>
        <w:pStyle w:val="Standard"/>
        <w:numPr>
          <w:ilvl w:val="0"/>
          <w:numId w:val="49"/>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2,2 przy wymaganej wartości Is </w:t>
      </w:r>
      <w:r w:rsidRPr="00160965">
        <w:rPr>
          <w:rFonts w:ascii="Aptos Display" w:hAnsi="Aptos Display"/>
          <w:sz w:val="18"/>
          <w:szCs w:val="18"/>
        </w:rPr>
        <w:t> 1,0,</w:t>
      </w:r>
    </w:p>
    <w:p w14:paraId="1F63DD20" w14:textId="77777777" w:rsidR="00160965" w:rsidRPr="00160965" w:rsidRDefault="00160965" w:rsidP="00160965">
      <w:pPr>
        <w:pStyle w:val="Standard"/>
        <w:numPr>
          <w:ilvl w:val="0"/>
          <w:numId w:val="49"/>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2,5 przy wymaganej wartości Is &lt;1,0,</w:t>
      </w:r>
    </w:p>
    <w:p w14:paraId="5526E07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b) dla gruntów drobnoziarnistych o równomiernym uziarnieniu (pyłów, glin pylastych, glin zwięzłych, iłów – 2,0,</w:t>
      </w:r>
    </w:p>
    <w:p w14:paraId="4F7D9516"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c) dla gruntów różnoziarnistych (żwirów gliniastych, pospółek gliniastych, pyłów piaszczystych, piasków gliniastych, glin piaszczystych, glin piaszczystych zwięzłych) – 3,0,</w:t>
      </w:r>
    </w:p>
    <w:p w14:paraId="1FCD49C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d) dla narzutów kamiennych, rumoszy – 4,</w:t>
      </w:r>
    </w:p>
    <w:p w14:paraId="21934602"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e) dla gruntów antropogenicznych – na podstawie badań poligonowych.</w:t>
      </w:r>
    </w:p>
    <w:p w14:paraId="29F18CDA"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14:paraId="32B53DAB" w14:textId="77777777" w:rsidR="00160965" w:rsidRPr="00160965" w:rsidRDefault="00160965" w:rsidP="00160965">
      <w:pPr>
        <w:pStyle w:val="Standard"/>
        <w:numPr>
          <w:ilvl w:val="3"/>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Próbne zagęszczenie</w:t>
      </w:r>
    </w:p>
    <w:p w14:paraId="6E0BA4FB"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Odcinek doświadczalny dla próbnego zagęszczenia gruntu o minimalnej powierzchni 300 m2, powinien być wykonane na terenie oczyszczonym z gleby, na którym układa się grunt czterema pasmami o szerokości od 3,5 do 4,5 m każde. Poszczególne  warstwy układanego gruntu powinny mieć w każdym pasie inną grubość z tym, że wszystkie muszą mieścić się w granicach właściwych dla danego sprzętu zagęszczającego. Wilgotność gruntu powinna być równa optymalnej z tolerancją podaną w </w:t>
      </w:r>
      <w:proofErr w:type="spellStart"/>
      <w:r w:rsidRPr="00160965">
        <w:rPr>
          <w:rFonts w:ascii="Aptos Display" w:hAnsi="Aptos Display"/>
          <w:sz w:val="18"/>
          <w:szCs w:val="18"/>
        </w:rPr>
        <w:t>pkcie</w:t>
      </w:r>
      <w:proofErr w:type="spellEnd"/>
      <w:r w:rsidRPr="00160965">
        <w:rPr>
          <w:rFonts w:ascii="Aptos Display" w:hAnsi="Aptos Display"/>
          <w:sz w:val="18"/>
          <w:szCs w:val="18"/>
        </w:rPr>
        <w:t xml:space="preserv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rsidRPr="00160965">
        <w:rPr>
          <w:rFonts w:ascii="Aptos Display" w:hAnsi="Aptos Display"/>
          <w:sz w:val="18"/>
          <w:szCs w:val="18"/>
        </w:rPr>
        <w:t>ugięciomierz</w:t>
      </w:r>
      <w:proofErr w:type="spellEnd"/>
      <w:r w:rsidRPr="00160965">
        <w:rPr>
          <w:rFonts w:ascii="Aptos Display" w:hAnsi="Aptos Display"/>
          <w:sz w:val="18"/>
          <w:szCs w:val="18"/>
        </w:rPr>
        <w:t xml:space="preserve"> udarowy po ich skalibrowaniu w warunkach terenowych).</w:t>
      </w:r>
    </w:p>
    <w:p w14:paraId="4FC5258C"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t>
      </w:r>
      <w:r w:rsidRPr="00160965">
        <w:rPr>
          <w:rFonts w:ascii="Aptos Display" w:hAnsi="Aptos Display"/>
          <w:sz w:val="18"/>
          <w:szCs w:val="18"/>
        </w:rPr>
        <w:tab/>
        <w:t>Oznaczenie wskaźnika zagęszczenia należy wykonać co najmniej w 4 punktach, z których co najmniej 2 powinny umożliwić ustalenie wskaźnika zagęszczenia w dolnej części warstwy. Na podstawie porównania uzyskanych wyników zagęszczenia z wymaganiami podanymi w punkcie 5.3.4.4 dokonuje się wyboru sprzętu i ustala się potrzebną liczbę przejść oraz grubość warstwy rozkładanego gruntu.</w:t>
      </w:r>
    </w:p>
    <w:p w14:paraId="593E492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4588EFC0"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KONTROLA JAKOŚCI ROBÓT</w:t>
      </w:r>
    </w:p>
    <w:p w14:paraId="31627463"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kontroli jakości robót</w:t>
      </w:r>
    </w:p>
    <w:p w14:paraId="2917D96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kontroli jakości robót podano w SST D-02.00.01 pkt 6.</w:t>
      </w:r>
    </w:p>
    <w:p w14:paraId="12FCEDD0"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Sprawdzenie wykonania ukopu i dokopu</w:t>
      </w:r>
    </w:p>
    <w:p w14:paraId="0C3BF56B"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Sprawdzenie wykonania ukopu i dokopu polega na kontrolowaniu zgodności z wymaganiami określonymi w punkcie 5.2 niniejszej specyfikacji oraz w dokumentacji projektowej i SST. W czasie kontroli należy zwrócić szczególną uwagę na sprawdzenie:</w:t>
      </w:r>
    </w:p>
    <w:p w14:paraId="7342CDD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a) zgodności rodzaju gruntu z określonym w dokumentacji projektowej i SST,</w:t>
      </w:r>
    </w:p>
    <w:p w14:paraId="64DF348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b) zachowania kształtu zboczy, zapewniającego ich stateczność,</w:t>
      </w:r>
    </w:p>
    <w:p w14:paraId="61EFECD9"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c) odwodnienia,</w:t>
      </w:r>
    </w:p>
    <w:p w14:paraId="4C5E22B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d) zagospodarowania (rekultywacji) terenu po zakończeniu eksploatacji ukopu.</w:t>
      </w:r>
    </w:p>
    <w:p w14:paraId="52659C51"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Sprawdzenie jakości wykonania nasypów</w:t>
      </w:r>
    </w:p>
    <w:p w14:paraId="1F2ABC39"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Rodzaje badań i pomiarów</w:t>
      </w:r>
    </w:p>
    <w:p w14:paraId="4583A6A8"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Sprawdzenie jakości wykonania nasypów polega na kontrolowaniu zgodności z wymaganiami określonymi w punktach 2,3 oraz 5.3 niniejszej specyfikacji, w dokumentacji projektowej i SST.</w:t>
      </w:r>
    </w:p>
    <w:p w14:paraId="669D4D9A"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Szczególną uwagę należy zwrócić na:</w:t>
      </w:r>
    </w:p>
    <w:p w14:paraId="3BB6ED3B"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a) badania przydatności gruntów do budowy nasypów,</w:t>
      </w:r>
    </w:p>
    <w:p w14:paraId="73B7B39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b) badania prawidłowości wykonania poszczególnych warstw nasypu,</w:t>
      </w:r>
    </w:p>
    <w:p w14:paraId="6970B849"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lastRenderedPageBreak/>
        <w:t>c) badania zagęszczenia nasypu,</w:t>
      </w:r>
    </w:p>
    <w:p w14:paraId="245AB70A"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d) pomiary kształtu nasypu.</w:t>
      </w:r>
    </w:p>
    <w:p w14:paraId="472CD166"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e) odwodnienie nasypu</w:t>
      </w:r>
    </w:p>
    <w:p w14:paraId="1D6A1CEF"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Badania przydatności gruntów do budowy nasypów</w:t>
      </w:r>
    </w:p>
    <w:p w14:paraId="0AE4BF5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Badania przydatności gruntów do budowy nasypu powinny być przeprowadzone na próbkach pobranych z każdej partii przeznaczonej do wbudowania w korpus ziemny, pochodzącej z nowego źródła, jednak nie rzadziej niż jeden raz na 3000 m3. W każdym badaniu należy określić następujące właściwości:</w:t>
      </w:r>
    </w:p>
    <w:p w14:paraId="048E11A7" w14:textId="77777777" w:rsidR="00160965" w:rsidRPr="00160965" w:rsidRDefault="00160965" w:rsidP="00160965">
      <w:pPr>
        <w:pStyle w:val="Standard"/>
        <w:numPr>
          <w:ilvl w:val="0"/>
          <w:numId w:val="50"/>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skład granulometryczny, wg PN-B-04481 :1988,</w:t>
      </w:r>
    </w:p>
    <w:p w14:paraId="5947F65A" w14:textId="77777777" w:rsidR="00160965" w:rsidRPr="00160965" w:rsidRDefault="00160965" w:rsidP="00160965">
      <w:pPr>
        <w:pStyle w:val="Standard"/>
        <w:numPr>
          <w:ilvl w:val="0"/>
          <w:numId w:val="50"/>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zawartość części organicznych, wg PN-B-04481:1988,</w:t>
      </w:r>
    </w:p>
    <w:p w14:paraId="38C2CDDC" w14:textId="77777777" w:rsidR="00160965" w:rsidRPr="00160965" w:rsidRDefault="00160965" w:rsidP="00160965">
      <w:pPr>
        <w:pStyle w:val="Standard"/>
        <w:numPr>
          <w:ilvl w:val="0"/>
          <w:numId w:val="50"/>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wilgotność naturalną, wg PN-B-04481:1988,</w:t>
      </w:r>
    </w:p>
    <w:p w14:paraId="246051BB" w14:textId="77777777" w:rsidR="00160965" w:rsidRPr="00160965" w:rsidRDefault="00160965" w:rsidP="00160965">
      <w:pPr>
        <w:pStyle w:val="Standard"/>
        <w:numPr>
          <w:ilvl w:val="0"/>
          <w:numId w:val="50"/>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wilgotność optymalną i maksymalną gęstość objętościową szkieletu gruntowego, wg PN-B-04481:1988,</w:t>
      </w:r>
    </w:p>
    <w:p w14:paraId="1E2C407D" w14:textId="77777777" w:rsidR="00160965" w:rsidRPr="00160965" w:rsidRDefault="00160965" w:rsidP="00160965">
      <w:pPr>
        <w:pStyle w:val="Standard"/>
        <w:numPr>
          <w:ilvl w:val="0"/>
          <w:numId w:val="50"/>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granicę płynności, wg PN-B-04481:1988,</w:t>
      </w:r>
    </w:p>
    <w:p w14:paraId="22B2AED0" w14:textId="77777777" w:rsidR="00160965" w:rsidRPr="00160965" w:rsidRDefault="00160965" w:rsidP="00160965">
      <w:pPr>
        <w:pStyle w:val="Standard"/>
        <w:numPr>
          <w:ilvl w:val="0"/>
          <w:numId w:val="50"/>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kapilarność bierną, wg PN-B-04493:1960,</w:t>
      </w:r>
    </w:p>
    <w:p w14:paraId="3BE92C44" w14:textId="77777777" w:rsidR="00160965" w:rsidRPr="00160965" w:rsidRDefault="00160965" w:rsidP="00160965">
      <w:pPr>
        <w:pStyle w:val="Standard"/>
        <w:numPr>
          <w:ilvl w:val="0"/>
          <w:numId w:val="50"/>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wskaźnik piaskowy, wg PN-EN 933-8.</w:t>
      </w:r>
    </w:p>
    <w:p w14:paraId="7B540A36"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Badania kontrolne prawidłowości wykonania poszczególnych warstw nasypu</w:t>
      </w:r>
    </w:p>
    <w:p w14:paraId="6218ADD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Badania kontrolne prawidłowości wykonania poszczególnych warstw nasypu polegają na sprawdzeniu:</w:t>
      </w:r>
    </w:p>
    <w:p w14:paraId="67D193BA"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a) prawidłowości rozmieszczenia gruntów o różnych właściwościach w nasypie,</w:t>
      </w:r>
    </w:p>
    <w:p w14:paraId="6E1D2E1E"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b) odwodnienia każdej warstwy,</w:t>
      </w:r>
    </w:p>
    <w:p w14:paraId="707F3626"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c) grubości każdej warstwy i jej wilgotności przy zagęszczaniu; badania należy przeprowadzić nie rzadziej niż jeden raz na 500 m2 warstwy,</w:t>
      </w:r>
    </w:p>
    <w:p w14:paraId="5B4D3661"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d) nadania spadków warstwom z gruntów spoistych według punktu 5.3.3.1 poz. d),</w:t>
      </w:r>
    </w:p>
    <w:p w14:paraId="3C2C1AB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e) przestrzegania ograniczeń określonych w punktach 5.3.3.8 i 5.3.3.9, dotyczących wbudowania gruntów w okresie deszczów i mrozów.</w:t>
      </w:r>
    </w:p>
    <w:p w14:paraId="030941B6"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Sprawdzenie zagęszczenia nasypu oraz podłoża nasypu</w:t>
      </w:r>
    </w:p>
    <w:p w14:paraId="152AA03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t>
      </w:r>
      <w:r w:rsidRPr="00160965">
        <w:rPr>
          <w:rFonts w:ascii="Aptos Display" w:hAnsi="Aptos Display"/>
          <w:sz w:val="18"/>
          <w:szCs w:val="18"/>
        </w:rPr>
        <w:tab/>
        <w:t>Sprawdzenie zagęszczenia nasypu oraz podłoża nasypu polega na skontrolowaniu zgodności wartości wskaźnika zagęszczenia Is lub stosunku modułów odkształcenia z wartościami określonymi w punktach 5.3.1.2 i 5.3.4.4. Do bieżącej kontroli zagęszczenia dopuszcza się aparaty izotopowe.</w:t>
      </w:r>
    </w:p>
    <w:p w14:paraId="1F500657"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Oznaczenie wskaźnika zagęszczenia Is powinno być przeprowadzone według normy BN-77/8931-12, oznaczenie modułów odkształcenia według normy PN-S-02205:1998.</w:t>
      </w:r>
    </w:p>
    <w:p w14:paraId="5C100B39"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Zagęszczenie każdej warstwy należy kontrolować nie rzadziej niż:</w:t>
      </w:r>
    </w:p>
    <w:p w14:paraId="6E8B7ED1" w14:textId="77777777" w:rsidR="00160965" w:rsidRPr="00160965" w:rsidRDefault="00160965" w:rsidP="00160965">
      <w:pPr>
        <w:pStyle w:val="Standard"/>
        <w:numPr>
          <w:ilvl w:val="0"/>
          <w:numId w:val="51"/>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jeden raz w trzech punktach na 1000 m2 warstwy, w przypadku określenia wartości Is,</w:t>
      </w:r>
    </w:p>
    <w:p w14:paraId="788D1474" w14:textId="77777777" w:rsidR="00160965" w:rsidRPr="00160965" w:rsidRDefault="00160965" w:rsidP="00160965">
      <w:pPr>
        <w:pStyle w:val="Standard"/>
        <w:numPr>
          <w:ilvl w:val="0"/>
          <w:numId w:val="51"/>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jeden raz w trzech punktach na 2000 m2 warstwy w przypadku określenia pierwotnego            i wtórnego modułu odkształcenia.</w:t>
      </w:r>
    </w:p>
    <w:p w14:paraId="5756A225"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Wyniki kontroli zagęszczenia robót Wykonawca powinien wpisywać do dokumentów laboratoryjnych. Prawidłowość zagęszczenia konkretnej warstwy nasypu lub podłoża pod nasypem powinna być potwierdzona przez Inżyniera wpisem w dzienniku budowy.</w:t>
      </w:r>
    </w:p>
    <w:p w14:paraId="319756F5"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Pomiary kształtu nasypu</w:t>
      </w:r>
    </w:p>
    <w:p w14:paraId="15EFD5F7" w14:textId="77777777" w:rsidR="00160965" w:rsidRPr="00160965" w:rsidRDefault="00160965" w:rsidP="00160965">
      <w:pPr>
        <w:pStyle w:val="Standard"/>
        <w:numPr>
          <w:ilvl w:val="2"/>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Pomiary kształtu nasypu obejmują kontrolę:</w:t>
      </w:r>
    </w:p>
    <w:p w14:paraId="2CF019DB" w14:textId="77777777" w:rsidR="00160965" w:rsidRPr="00160965" w:rsidRDefault="00160965" w:rsidP="00160965">
      <w:pPr>
        <w:pStyle w:val="Standard"/>
        <w:numPr>
          <w:ilvl w:val="0"/>
          <w:numId w:val="52"/>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prawidłowości wykonania skarp,</w:t>
      </w:r>
    </w:p>
    <w:p w14:paraId="121CB815" w14:textId="77777777" w:rsidR="00160965" w:rsidRPr="00160965" w:rsidRDefault="00160965" w:rsidP="00160965">
      <w:pPr>
        <w:pStyle w:val="Standard"/>
        <w:numPr>
          <w:ilvl w:val="0"/>
          <w:numId w:val="52"/>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szerokości korony korpusu.</w:t>
      </w:r>
    </w:p>
    <w:p w14:paraId="72CEC91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Sprawdzenie prawidłowości wykonania skarp polega na skontrolowaniu zgodności z wymaganiami dotyczącymi pochyleń i dokładności wykonania skarp, określonymi w dokumentacji projektowej, SST oraz w punkcie 5.3.5 niniejszej specyfikacji.</w:t>
      </w:r>
    </w:p>
    <w:p w14:paraId="0205011A"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 xml:space="preserve">      Sprawdzenie szerokości korony korpusu polega na porównaniu szerokości korony korpusu na poziomie wykonywanej warstwy nasypu z szerokością wynikającą z wymiarów geometrycznych korpusu, określonych w dokumentacji projektowej.</w:t>
      </w:r>
    </w:p>
    <w:p w14:paraId="1507E73D"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6B3EC9C1"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OBMIAR ROBÓT</w:t>
      </w:r>
    </w:p>
    <w:p w14:paraId="62CEE39A"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obmiaru robót</w:t>
      </w:r>
    </w:p>
    <w:p w14:paraId="35FE79C4"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obmiaru robót podano w SST D-02.00.01 pkt 7.</w:t>
      </w:r>
    </w:p>
    <w:p w14:paraId="7E92207A"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Jednostka obmiarowa</w:t>
      </w:r>
    </w:p>
    <w:p w14:paraId="46F4E513"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Jednostką obmiarową jest m3 (metr sześcienny) wykonanego i zagęszczonego nasypu.</w:t>
      </w:r>
    </w:p>
    <w:p w14:paraId="3C04F46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251FE4FD"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ODBIÓR ROBÓT</w:t>
      </w:r>
    </w:p>
    <w:p w14:paraId="53A076C8"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zasady odbioru podano w SST D-02.00.01 pkt 8.</w:t>
      </w:r>
    </w:p>
    <w:p w14:paraId="4DF9AB53"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7E2E72BB"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PODSTAWA PŁATNOŚCI</w:t>
      </w:r>
    </w:p>
    <w:p w14:paraId="56F45922"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ustalenia dotyczące podstawy płatności</w:t>
      </w:r>
    </w:p>
    <w:p w14:paraId="770C4816"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Ogólne ustalenia dotyczące podstawy płatności podano w SST D-02.00.01 pkt 9.</w:t>
      </w:r>
    </w:p>
    <w:p w14:paraId="2D3672EC" w14:textId="77777777" w:rsidR="00160965" w:rsidRPr="00160965" w:rsidRDefault="00160965" w:rsidP="00160965">
      <w:pPr>
        <w:pStyle w:val="Standard"/>
        <w:numPr>
          <w:ilvl w:val="1"/>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Cena jednostki obmiarowej</w:t>
      </w:r>
    </w:p>
    <w:p w14:paraId="1CE39630"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Cena wykonania 1 m3 nasypów obejmuje:</w:t>
      </w:r>
    </w:p>
    <w:p w14:paraId="620569BB" w14:textId="77777777" w:rsidR="00160965" w:rsidRPr="00160965" w:rsidRDefault="00160965" w:rsidP="00160965">
      <w:pPr>
        <w:pStyle w:val="Standard"/>
        <w:numPr>
          <w:ilvl w:val="0"/>
          <w:numId w:val="53"/>
        </w:numPr>
        <w:tabs>
          <w:tab w:val="left" w:pos="567"/>
          <w:tab w:val="right" w:leader="dot" w:pos="7937"/>
        </w:tabs>
        <w:ind w:left="1077" w:hanging="357"/>
        <w:jc w:val="both"/>
        <w:rPr>
          <w:rFonts w:ascii="Aptos Display" w:hAnsi="Aptos Display"/>
          <w:sz w:val="18"/>
          <w:szCs w:val="18"/>
        </w:rPr>
      </w:pPr>
      <w:r w:rsidRPr="00160965">
        <w:rPr>
          <w:rFonts w:ascii="Aptos Display" w:hAnsi="Aptos Display"/>
          <w:sz w:val="18"/>
          <w:szCs w:val="18"/>
        </w:rPr>
        <w:t>prace pomiarowe,</w:t>
      </w:r>
    </w:p>
    <w:p w14:paraId="04B610EA"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oznakowanie robót,</w:t>
      </w:r>
    </w:p>
    <w:p w14:paraId="57B39CA6"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pozyskanie (zakup) gruntu przez Wykonawcę jego odspojenie i załadunek na środki transportowe,</w:t>
      </w:r>
    </w:p>
    <w:p w14:paraId="208D7CA0"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transport urobku na miejsce wbudowania,</w:t>
      </w:r>
    </w:p>
    <w:p w14:paraId="6EF2C450"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lastRenderedPageBreak/>
        <w:t>wbudowanie dostarczonego gruntu w nasyp,</w:t>
      </w:r>
    </w:p>
    <w:p w14:paraId="7262281F"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zagęszczenie gruntu,</w:t>
      </w:r>
    </w:p>
    <w:p w14:paraId="3AAA1F3A"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profilowanie powierzchni nasypu, rowów i skarp,</w:t>
      </w:r>
    </w:p>
    <w:p w14:paraId="2B7CD88D"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wyprofilowanie skarp ukopu i dokopu,</w:t>
      </w:r>
    </w:p>
    <w:p w14:paraId="6F8C62F3"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rekultywację dokopu i terenu przyległego do drogi,</w:t>
      </w:r>
    </w:p>
    <w:p w14:paraId="77BCFA49"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odwodnienie terenu robót,</w:t>
      </w:r>
    </w:p>
    <w:p w14:paraId="27DAC605"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wykonanie dróg dojazdowych na czas budowy, a następnie ich rozebranie,</w:t>
      </w:r>
    </w:p>
    <w:p w14:paraId="0EEB7F44" w14:textId="77777777" w:rsidR="00160965" w:rsidRPr="00160965" w:rsidRDefault="00160965" w:rsidP="00160965">
      <w:pPr>
        <w:pStyle w:val="Standard"/>
        <w:numPr>
          <w:ilvl w:val="0"/>
          <w:numId w:val="53"/>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przeprowadzenie pomiarów i badań laboratoryjnych wymaganych w specyfikacji technicznej.</w:t>
      </w:r>
    </w:p>
    <w:p w14:paraId="7B7E182F"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p>
    <w:p w14:paraId="2F72C407" w14:textId="77777777" w:rsidR="00160965" w:rsidRPr="00160965" w:rsidRDefault="00160965" w:rsidP="00160965">
      <w:pPr>
        <w:pStyle w:val="Standard"/>
        <w:numPr>
          <w:ilvl w:val="0"/>
          <w:numId w:val="48"/>
        </w:numPr>
        <w:tabs>
          <w:tab w:val="left" w:pos="567"/>
          <w:tab w:val="right" w:leader="dot" w:pos="7937"/>
        </w:tabs>
        <w:jc w:val="both"/>
        <w:rPr>
          <w:rFonts w:ascii="Aptos Display" w:hAnsi="Aptos Display"/>
          <w:sz w:val="18"/>
          <w:szCs w:val="18"/>
        </w:rPr>
      </w:pPr>
      <w:r w:rsidRPr="00160965">
        <w:rPr>
          <w:rFonts w:ascii="Aptos Display" w:hAnsi="Aptos Display"/>
          <w:sz w:val="18"/>
          <w:szCs w:val="18"/>
        </w:rPr>
        <w:t>PRZEPISY ZWIĄZANE</w:t>
      </w:r>
    </w:p>
    <w:p w14:paraId="60D70B3F" w14:textId="77777777" w:rsidR="00160965" w:rsidRPr="00160965" w:rsidRDefault="00160965" w:rsidP="00160965">
      <w:pPr>
        <w:pStyle w:val="Standard"/>
        <w:tabs>
          <w:tab w:val="left" w:pos="567"/>
          <w:tab w:val="right" w:leader="dot" w:pos="7937"/>
        </w:tabs>
        <w:jc w:val="both"/>
        <w:rPr>
          <w:rFonts w:ascii="Aptos Display" w:hAnsi="Aptos Display"/>
          <w:sz w:val="18"/>
          <w:szCs w:val="18"/>
        </w:rPr>
      </w:pPr>
      <w:r w:rsidRPr="00160965">
        <w:rPr>
          <w:rFonts w:ascii="Aptos Display" w:hAnsi="Aptos Display"/>
          <w:sz w:val="18"/>
          <w:szCs w:val="18"/>
        </w:rPr>
        <w:t>Spis przepisów związanych podano w SST D-02.00.01 pkt 10.</w:t>
      </w:r>
    </w:p>
    <w:p w14:paraId="3047CDCE" w14:textId="77777777" w:rsidR="00D6213F" w:rsidRDefault="00D6213F" w:rsidP="00E04FCC">
      <w:pPr>
        <w:pStyle w:val="Standard"/>
        <w:tabs>
          <w:tab w:val="left" w:pos="567"/>
          <w:tab w:val="right" w:leader="dot" w:pos="7937"/>
        </w:tabs>
        <w:jc w:val="both"/>
      </w:pPr>
    </w:p>
    <w:sectPr w:rsidR="00D621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7D3C"/>
    <w:multiLevelType w:val="multilevel"/>
    <w:tmpl w:val="99FE244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 w15:restartNumberingAfterBreak="0">
    <w:nsid w:val="0C636D13"/>
    <w:multiLevelType w:val="multilevel"/>
    <w:tmpl w:val="685AE2B6"/>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815253"/>
    <w:multiLevelType w:val="multilevel"/>
    <w:tmpl w:val="70D072D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 w15:restartNumberingAfterBreak="0">
    <w:nsid w:val="0DD66B77"/>
    <w:multiLevelType w:val="multilevel"/>
    <w:tmpl w:val="07E2B05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1021776F"/>
    <w:multiLevelType w:val="multilevel"/>
    <w:tmpl w:val="F6D055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7" w15:restartNumberingAfterBreak="0">
    <w:nsid w:val="13166DCC"/>
    <w:multiLevelType w:val="multilevel"/>
    <w:tmpl w:val="91502F5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8" w15:restartNumberingAfterBreak="0">
    <w:nsid w:val="16EF714F"/>
    <w:multiLevelType w:val="multilevel"/>
    <w:tmpl w:val="A62A16B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9" w15:restartNumberingAfterBreak="0">
    <w:nsid w:val="1F1822F9"/>
    <w:multiLevelType w:val="multilevel"/>
    <w:tmpl w:val="9878C3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 w15:restartNumberingAfterBreak="0">
    <w:nsid w:val="1F8270A0"/>
    <w:multiLevelType w:val="multilevel"/>
    <w:tmpl w:val="5A0E1E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1"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2"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3"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14"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5"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6"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7" w15:restartNumberingAfterBreak="0">
    <w:nsid w:val="2DF552D4"/>
    <w:multiLevelType w:val="multilevel"/>
    <w:tmpl w:val="EAF2F9D2"/>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8"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9"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0" w15:restartNumberingAfterBreak="0">
    <w:nsid w:val="37DF2590"/>
    <w:multiLevelType w:val="multilevel"/>
    <w:tmpl w:val="F65231B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1" w15:restartNumberingAfterBreak="0">
    <w:nsid w:val="38277F1C"/>
    <w:multiLevelType w:val="multilevel"/>
    <w:tmpl w:val="9F38D092"/>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22" w15:restartNumberingAfterBreak="0">
    <w:nsid w:val="3A2E4532"/>
    <w:multiLevelType w:val="multilevel"/>
    <w:tmpl w:val="0B02C83E"/>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3" w15:restartNumberingAfterBreak="0">
    <w:nsid w:val="3AEE72D4"/>
    <w:multiLevelType w:val="multilevel"/>
    <w:tmpl w:val="24E0F60E"/>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C723489"/>
    <w:multiLevelType w:val="multilevel"/>
    <w:tmpl w:val="72A6E28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1800" w:hanging="143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42D77CD5"/>
    <w:multiLevelType w:val="multilevel"/>
    <w:tmpl w:val="B0A8A91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6"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7" w15:restartNumberingAfterBreak="0">
    <w:nsid w:val="4AFE2BC0"/>
    <w:multiLevelType w:val="multilevel"/>
    <w:tmpl w:val="31A4E3B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8" w15:restartNumberingAfterBreak="0">
    <w:nsid w:val="4BD72A74"/>
    <w:multiLevelType w:val="multilevel"/>
    <w:tmpl w:val="C492A99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29"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2"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3"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4" w15:restartNumberingAfterBreak="0">
    <w:nsid w:val="547C4DF0"/>
    <w:multiLevelType w:val="multilevel"/>
    <w:tmpl w:val="46849D74"/>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5" w15:restartNumberingAfterBreak="0">
    <w:nsid w:val="55D75D80"/>
    <w:multiLevelType w:val="multilevel"/>
    <w:tmpl w:val="532C338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36"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7"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8"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0"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41" w15:restartNumberingAfterBreak="0">
    <w:nsid w:val="6B5F6719"/>
    <w:multiLevelType w:val="multilevel"/>
    <w:tmpl w:val="E43A18FC"/>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CA37C2D"/>
    <w:multiLevelType w:val="multilevel"/>
    <w:tmpl w:val="99605C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3" w15:restartNumberingAfterBreak="0">
    <w:nsid w:val="6ED47E09"/>
    <w:multiLevelType w:val="multilevel"/>
    <w:tmpl w:val="6A188F26"/>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4" w15:restartNumberingAfterBreak="0">
    <w:nsid w:val="6EE11052"/>
    <w:multiLevelType w:val="multilevel"/>
    <w:tmpl w:val="73CE2A9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5" w15:restartNumberingAfterBreak="0">
    <w:nsid w:val="726267EC"/>
    <w:multiLevelType w:val="multilevel"/>
    <w:tmpl w:val="0E2ADB70"/>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6" w15:restartNumberingAfterBreak="0">
    <w:nsid w:val="777629B6"/>
    <w:multiLevelType w:val="multilevel"/>
    <w:tmpl w:val="B1D4B13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8"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49"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50" w15:restartNumberingAfterBreak="0">
    <w:nsid w:val="7F05417D"/>
    <w:multiLevelType w:val="multilevel"/>
    <w:tmpl w:val="D20CCEEA"/>
    <w:lvl w:ilvl="0">
      <w:start w:val="1"/>
      <w:numFmt w:val="bullet"/>
      <w:suff w:val="nothing"/>
      <w:lvlText w:val=""/>
      <w:lvlJc w:val="left"/>
      <w:pPr>
        <w:ind w:left="1080" w:hanging="360"/>
      </w:pPr>
      <w:rPr>
        <w:rFonts w:ascii="Symbol" w:hAnsi="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38"/>
  </w:num>
  <w:num w:numId="2" w16cid:durableId="1090927194">
    <w:abstractNumId w:val="13"/>
  </w:num>
  <w:num w:numId="3" w16cid:durableId="1200051253">
    <w:abstractNumId w:val="38"/>
    <w:lvlOverride w:ilvl="0">
      <w:startOverride w:val="1"/>
    </w:lvlOverride>
    <w:lvlOverride w:ilvl="1">
      <w:startOverride w:val="1"/>
    </w:lvlOverride>
    <w:lvlOverride w:ilvl="2">
      <w:startOverride w:val="1"/>
    </w:lvlOverride>
  </w:num>
  <w:num w:numId="4" w16cid:durableId="1206597819">
    <w:abstractNumId w:val="33"/>
  </w:num>
  <w:num w:numId="5" w16cid:durableId="695620920">
    <w:abstractNumId w:val="14"/>
  </w:num>
  <w:num w:numId="6" w16cid:durableId="57169743">
    <w:abstractNumId w:val="38"/>
    <w:lvlOverride w:ilvl="0">
      <w:startOverride w:val="1"/>
    </w:lvlOverride>
    <w:lvlOverride w:ilvl="1">
      <w:startOverride w:val="1"/>
    </w:lvlOverride>
    <w:lvlOverride w:ilvl="2">
      <w:startOverride w:val="1"/>
    </w:lvlOverride>
  </w:num>
  <w:num w:numId="7" w16cid:durableId="983236745">
    <w:abstractNumId w:val="19"/>
  </w:num>
  <w:num w:numId="8" w16cid:durableId="678235787">
    <w:abstractNumId w:val="48"/>
  </w:num>
  <w:num w:numId="9" w16cid:durableId="543182273">
    <w:abstractNumId w:val="18"/>
  </w:num>
  <w:num w:numId="10" w16cid:durableId="815300288">
    <w:abstractNumId w:val="11"/>
  </w:num>
  <w:num w:numId="11" w16cid:durableId="1879464172">
    <w:abstractNumId w:val="39"/>
  </w:num>
  <w:num w:numId="12" w16cid:durableId="256448409">
    <w:abstractNumId w:val="26"/>
  </w:num>
  <w:num w:numId="13" w16cid:durableId="2099712370">
    <w:abstractNumId w:val="32"/>
  </w:num>
  <w:num w:numId="14" w16cid:durableId="2076859055">
    <w:abstractNumId w:val="15"/>
  </w:num>
  <w:num w:numId="15" w16cid:durableId="964165752">
    <w:abstractNumId w:val="36"/>
  </w:num>
  <w:num w:numId="16" w16cid:durableId="496503191">
    <w:abstractNumId w:val="47"/>
  </w:num>
  <w:num w:numId="17" w16cid:durableId="628512319">
    <w:abstractNumId w:val="4"/>
  </w:num>
  <w:num w:numId="18" w16cid:durableId="1775595661">
    <w:abstractNumId w:val="29"/>
  </w:num>
  <w:num w:numId="19" w16cid:durableId="514543739">
    <w:abstractNumId w:val="31"/>
  </w:num>
  <w:num w:numId="20" w16cid:durableId="527909604">
    <w:abstractNumId w:val="12"/>
  </w:num>
  <w:num w:numId="21" w16cid:durableId="1751269680">
    <w:abstractNumId w:val="49"/>
  </w:num>
  <w:num w:numId="22" w16cid:durableId="136341916">
    <w:abstractNumId w:val="30"/>
  </w:num>
  <w:num w:numId="23" w16cid:durableId="1382175639">
    <w:abstractNumId w:val="40"/>
  </w:num>
  <w:num w:numId="24" w16cid:durableId="44571865">
    <w:abstractNumId w:val="16"/>
  </w:num>
  <w:num w:numId="25" w16cid:durableId="1848204863">
    <w:abstractNumId w:val="1"/>
  </w:num>
  <w:num w:numId="26" w16cid:durableId="1620183615">
    <w:abstractNumId w:val="37"/>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742362213">
    <w:abstractNumId w:val="46"/>
  </w:num>
  <w:num w:numId="28" w16cid:durableId="413863636">
    <w:abstractNumId w:val="21"/>
  </w:num>
  <w:num w:numId="29" w16cid:durableId="2060088507">
    <w:abstractNumId w:val="9"/>
  </w:num>
  <w:num w:numId="30" w16cid:durableId="2059357871">
    <w:abstractNumId w:val="24"/>
  </w:num>
  <w:num w:numId="31" w16cid:durableId="1203664882">
    <w:abstractNumId w:val="3"/>
  </w:num>
  <w:num w:numId="32" w16cid:durableId="1674187042">
    <w:abstractNumId w:val="35"/>
  </w:num>
  <w:num w:numId="33" w16cid:durableId="1734304775">
    <w:abstractNumId w:val="44"/>
  </w:num>
  <w:num w:numId="34" w16cid:durableId="445122100">
    <w:abstractNumId w:val="28"/>
  </w:num>
  <w:num w:numId="35" w16cid:durableId="519005873">
    <w:abstractNumId w:val="34"/>
  </w:num>
  <w:num w:numId="36" w16cid:durableId="1502548766">
    <w:abstractNumId w:val="17"/>
  </w:num>
  <w:num w:numId="37" w16cid:durableId="639269108">
    <w:abstractNumId w:val="10"/>
  </w:num>
  <w:num w:numId="38" w16cid:durableId="41104671">
    <w:abstractNumId w:val="23"/>
  </w:num>
  <w:num w:numId="39" w16cid:durableId="514225980">
    <w:abstractNumId w:val="6"/>
  </w:num>
  <w:num w:numId="40" w16cid:durableId="300810665">
    <w:abstractNumId w:val="5"/>
  </w:num>
  <w:num w:numId="41" w16cid:durableId="1708487058">
    <w:abstractNumId w:val="20"/>
  </w:num>
  <w:num w:numId="42" w16cid:durableId="811286138">
    <w:abstractNumId w:val="25"/>
  </w:num>
  <w:num w:numId="43" w16cid:durableId="213584505">
    <w:abstractNumId w:val="27"/>
  </w:num>
  <w:num w:numId="44" w16cid:durableId="1704210852">
    <w:abstractNumId w:val="0"/>
  </w:num>
  <w:num w:numId="45" w16cid:durableId="314116454">
    <w:abstractNumId w:val="8"/>
  </w:num>
  <w:num w:numId="46" w16cid:durableId="1309020941">
    <w:abstractNumId w:val="2"/>
  </w:num>
  <w:num w:numId="47" w16cid:durableId="239413172">
    <w:abstractNumId w:val="43"/>
  </w:num>
  <w:num w:numId="48" w16cid:durableId="1383096807">
    <w:abstractNumId w:val="41"/>
  </w:num>
  <w:num w:numId="49" w16cid:durableId="716976518">
    <w:abstractNumId w:val="45"/>
  </w:num>
  <w:num w:numId="50" w16cid:durableId="225456100">
    <w:abstractNumId w:val="22"/>
  </w:num>
  <w:num w:numId="51" w16cid:durableId="2002191260">
    <w:abstractNumId w:val="7"/>
  </w:num>
  <w:num w:numId="52" w16cid:durableId="673724450">
    <w:abstractNumId w:val="42"/>
  </w:num>
  <w:num w:numId="53" w16cid:durableId="552929525">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719CB"/>
    <w:rsid w:val="00160965"/>
    <w:rsid w:val="005D5B52"/>
    <w:rsid w:val="009C4F33"/>
    <w:rsid w:val="00AC2839"/>
    <w:rsid w:val="00B82FE3"/>
    <w:rsid w:val="00C97A03"/>
    <w:rsid w:val="00D523EC"/>
    <w:rsid w:val="00D6213F"/>
    <w:rsid w:val="00E04F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13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ableContents">
    <w:name w:val="Table Contents"/>
    <w:basedOn w:val="Standard"/>
    <w:rsid w:val="00D6213F"/>
    <w:pPr>
      <w:suppressLineNumbers/>
    </w:pPr>
  </w:style>
  <w:style w:type="paragraph" w:customStyle="1" w:styleId="Standardowytekst">
    <w:name w:val="Standardowy.tekst"/>
    <w:rsid w:val="00D6213F"/>
    <w:pPr>
      <w:suppressAutoHyphens/>
      <w:overflowPunct w:val="0"/>
      <w:autoSpaceDE w:val="0"/>
      <w:autoSpaceDN w:val="0"/>
      <w:spacing w:after="0" w:line="240" w:lineRule="auto"/>
      <w:jc w:val="both"/>
      <w:textAlignment w:val="baseline"/>
    </w:pPr>
    <w:rPr>
      <w:rFonts w:ascii="Times New Roman" w:eastAsia="Times New Roman" w:hAnsi="Times New Roman" w:cs="Times New Roman"/>
      <w:kern w:val="3"/>
      <w:sz w:val="20"/>
      <w:szCs w:val="20"/>
      <w:lang w:eastAsia="zh-CN"/>
      <w14:ligatures w14:val="none"/>
    </w:rPr>
  </w:style>
  <w:style w:type="paragraph" w:styleId="Stopka">
    <w:name w:val="footer"/>
    <w:basedOn w:val="Standard"/>
    <w:link w:val="StopkaZnak"/>
    <w:rsid w:val="00160965"/>
    <w:pPr>
      <w:suppressLineNumbers/>
      <w:tabs>
        <w:tab w:val="center" w:pos="4819"/>
        <w:tab w:val="right" w:pos="9638"/>
      </w:tabs>
    </w:pPr>
  </w:style>
  <w:style w:type="character" w:customStyle="1" w:styleId="StopkaZnak">
    <w:name w:val="Stopka Znak"/>
    <w:basedOn w:val="Domylnaczcionkaakapitu"/>
    <w:link w:val="Stopka"/>
    <w:rsid w:val="00160965"/>
    <w:rPr>
      <w:rFonts w:ascii="Times New Roman" w:eastAsia="SimSun" w:hAnsi="Times New Roman" w:cs="Mangal"/>
      <w:kern w:val="3"/>
      <w:sz w:val="24"/>
      <w:szCs w:val="24"/>
      <w:lang w:eastAsia="zh-CN" w:bidi="hi-IN"/>
      <w14:ligatures w14:val="none"/>
    </w:rPr>
  </w:style>
  <w:style w:type="paragraph" w:customStyle="1" w:styleId="StylIwony">
    <w:name w:val="Styl Iwony"/>
    <w:basedOn w:val="Standard"/>
    <w:rsid w:val="00160965"/>
    <w:pPr>
      <w:spacing w:before="120" w:after="120"/>
    </w:pPr>
    <w:rPr>
      <w:rFonts w:ascii="Bookman Old Style" w:eastAsia="Bookman Old Style" w:hAnsi="Bookman Old Style" w:cs="Bookman Old Sty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3213</Words>
  <Characters>19278</Characters>
  <Application>Microsoft Office Word</Application>
  <DocSecurity>0</DocSecurity>
  <Lines>160</Lines>
  <Paragraphs>44</Paragraphs>
  <ScaleCrop>false</ScaleCrop>
  <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3</cp:revision>
  <dcterms:created xsi:type="dcterms:W3CDTF">2024-03-09T09:52:00Z</dcterms:created>
  <dcterms:modified xsi:type="dcterms:W3CDTF">2025-05-15T10:08:00Z</dcterms:modified>
</cp:coreProperties>
</file>